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Siddhika Coatings Ltd</w:t>
      </w:r>
    </w:p>
    <w:p>
      <w:pPr>
        <w:pBdr>
          <w:bottom w:val="single" w:color="CCCCCC" w:sz="6" w:space="8"/>
        </w:pBdr>
        <w:spacing w:after="200"/>
      </w:pPr>
      <w:r>
        <w:rPr>
          <w:i/>
          <w:iCs/>
          <w:color w:val="666666"/>
          <w:sz w:val="22"/>
          <w:szCs w:val="22"/>
        </w:rPr>
        <w:t xml:space="preserve">Debt-free NSE-Emerge paint applicator/contractor (18-year SKK Japan tie-up) with ~20-25% steady growth and ~24% ROE, but management is hoarding surplus cash in mutual funds rather than reinvesting -- a real quality small-cap, not a hypergrowth story</w:t>
      </w:r>
    </w:p>
    <w:p>
      <w:pPr>
        <w:pStyle w:val="Heading1"/>
        <w:spacing w:after="120" w:before="280"/>
      </w:pPr>
      <w:r>
        <w:t xml:space="preserve">Business Overview</w:t>
      </w:r>
    </w:p>
    <w:p>
      <w:pPr>
        <w:spacing w:after="120"/>
      </w:pPr>
      <w:r>
        <w:t xml:space="preserve">Siddhika Coatings Ltd is India's largest single-brand texture-paint contracting/application company, an 18-year marketing and application partner for Japan's SK Kaken Ltd (SKK) across 10+ Indian cities. It does not manufacture paint -- it imports SKK products and applies them on commercial/residential/institutional projects (repeat clients ~70% of revenue). Management has floated (but not yet delivered) plans for an own-branded product line.</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133 Cr</w:t>
            </w:r>
          </w:p>
        </w:tc>
      </w:tr>
      <w:tr>
        <w:tc>
          <w:tcPr>
            <w:tcW w:type="dxa" w:w="3200"/>
            <w:shd w:fill="F2F2F2" w:val="clear"/>
          </w:tcPr>
          <w:p>
            <w:r>
              <w:rPr>
                <w:b/>
                <w:bCs/>
              </w:rPr>
              <w:t xml:space="preserve">ROE</w:t>
            </w:r>
          </w:p>
        </w:tc>
        <w:tc>
          <w:tcPr>
            <w:tcW w:type="dxa" w:w="5800"/>
          </w:tcPr>
          <w:p>
            <w:r>
              <w:t xml:space="preserve">~24.47% (3-yr)</w:t>
            </w:r>
          </w:p>
        </w:tc>
      </w:tr>
      <w:tr>
        <w:tc>
          <w:tcPr>
            <w:tcW w:type="dxa" w:w="3200"/>
            <w:shd w:fill="F2F2F2" w:val="clear"/>
          </w:tcPr>
          <w:p>
            <w:r>
              <w:rPr>
                <w:b/>
                <w:bCs/>
              </w:rPr>
              <w:t xml:space="preserve">ROIC</w:t>
            </w:r>
          </w:p>
        </w:tc>
        <w:tc>
          <w:tcPr>
            <w:tcW w:type="dxa" w:w="5800"/>
          </w:tcPr>
          <w:p>
            <w:r>
              <w:t xml:space="preserve">~17.63%</w:t>
            </w:r>
          </w:p>
        </w:tc>
      </w:tr>
      <w:tr>
        <w:tc>
          <w:tcPr>
            <w:tcW w:type="dxa" w:w="3200"/>
            <w:shd w:fill="F2F2F2" w:val="clear"/>
          </w:tcPr>
          <w:p>
            <w:r>
              <w:rPr>
                <w:b/>
                <w:bCs/>
              </w:rPr>
              <w:t xml:space="preserve">Revenue growth</w:t>
            </w:r>
          </w:p>
        </w:tc>
        <w:tc>
          <w:tcPr>
            <w:tcW w:type="dxa" w:w="5800"/>
          </w:tcPr>
          <w:p>
            <w:r>
              <w:t xml:space="preserve">~32% latest annual, ~20.6% avg/yr</w:t>
            </w:r>
          </w:p>
        </w:tc>
      </w:tr>
      <w:tr>
        <w:tc>
          <w:tcPr>
            <w:tcW w:type="dxa" w:w="3200"/>
            <w:shd w:fill="F2F2F2" w:val="clear"/>
          </w:tcPr>
          <w:p>
            <w:r>
              <w:rPr>
                <w:b/>
                <w:bCs/>
              </w:rPr>
              <w:t xml:space="preserve">Debt</w:t>
            </w:r>
          </w:p>
        </w:tc>
        <w:tc>
          <w:tcPr>
            <w:tcW w:type="dxa" w:w="5800"/>
          </w:tcPr>
          <w:p>
            <w:r>
              <w:t xml:space="preserve">Debt-free</w:t>
            </w:r>
          </w:p>
        </w:tc>
      </w:tr>
      <w:tr>
        <w:tc>
          <w:tcPr>
            <w:tcW w:type="dxa" w:w="3200"/>
            <w:shd w:fill="F2F2F2" w:val="clear"/>
          </w:tcPr>
          <w:p>
            <w:r>
              <w:rPr>
                <w:b/>
                <w:bCs/>
              </w:rPr>
              <w:t xml:space="preserve">FY24 EPS / dividend</w:t>
            </w:r>
          </w:p>
        </w:tc>
        <w:tc>
          <w:tcPr>
            <w:tcW w:type="dxa" w:w="5800"/>
          </w:tcPr>
          <w:p>
            <w:r>
              <w:t xml:space="preserve">Rs 14.84 EPS; 1:1 bonus; ~33% dividend payout</w:t>
            </w:r>
          </w:p>
        </w:tc>
      </w:tr>
      <w:tr>
        <w:tc>
          <w:tcPr>
            <w:tcW w:type="dxa" w:w="3200"/>
            <w:shd w:fill="F2F2F2" w:val="clear"/>
          </w:tcPr>
          <w:p>
            <w:r>
              <w:rPr>
                <w:b/>
                <w:bCs/>
              </w:rPr>
              <w:t xml:space="preserve">Latest quarter (Q2FY26)</w:t>
            </w:r>
          </w:p>
        </w:tc>
        <w:tc>
          <w:tcPr>
            <w:tcW w:type="dxa" w:w="5800"/>
          </w:tcPr>
          <w:p>
            <w:r>
              <w:t xml:space="preserve">OPM ~20%, highest ever, decent growth continuing</w:t>
            </w:r>
          </w:p>
        </w:tc>
      </w:tr>
    </w:tbl>
    <w:p>
      <w:pPr>
        <w:spacing w:after="100"/>
      </w:pPr>
    </w:p>
    <w:p>
      <w:pPr>
        <w:spacing w:after="120"/>
      </w:pPr>
      <w:r>
        <w:t xml:space="preserve">A genuinely clean small-cap: debt-free, ~24% ROE, steady 20-25% revenue growth driven by the 'organised sector taking share from unorganised' theme in paint contracting, and a multi-year track record of consistent profitability and rising dividends (FY20 topline ~Rs 30 Cr/PAT ~Rs 3.8 Cr through FY24 topline ~Rs 37 Cr/PAT ~Rs 4.5 Cr, then a further ~50% topline jump and doubled profit reported Nov-2024, and Q2FY26 OPM hit a record ~20%). The recurring, multi-year concern -- raised independently by the OP (rk1771) and a trusted user (sameernics) across 2024-2026 -- is capital allocation: the company generates more cash than the business needs and has been parking the surplus in mutual funds and fixed deposits rather than reinvesting or returning it, which management confirms is 'cash management only' but which will mechanically depress ROE as the MF book grows relative to the operating business.</w:t>
      </w:r>
    </w:p>
    <w:p>
      <w:pPr>
        <w:pStyle w:val="Heading1"/>
        <w:spacing w:after="120" w:before="280"/>
      </w:pPr>
      <w:r>
        <w:t xml:space="preserve">Technical Read (Weekly / Monthly MACD + Bollinger Bands, or RSI/CCI/Williams %R proxy)</w:t>
      </w:r>
    </w:p>
    <w:p>
      <w:pPr>
        <w:spacing w:after="120"/>
      </w:pPr>
      <w:r>
        <w:t xml:space="preserve">Not escalated to charts -- a low-liquidity NSE Emerge micro-cap where technical reads are unreliable (see manipulation caution below).</w:t>
      </w:r>
    </w:p>
    <w:p>
      <w:pPr>
        <w:pStyle w:val="Heading1"/>
        <w:spacing w:after="120" w:before="280"/>
      </w:pPr>
      <w:r>
        <w:t xml:space="preserve">ValuePickr Community Signal</w:t>
      </w:r>
    </w:p>
    <w:p>
      <w:pPr>
        <w:spacing w:after="120"/>
      </w:pPr>
      <w:r>
        <w:t xml:space="preserve">33-post thread (2022-11 to 2026-09-10), first-time read, whole thread in one batch. Long-running, substantive OP (rk1771, non-trusted but a consistent, well-informed multi-year tracker) with genuine back-and-forth on business quality, liquidity risk, and capital allocation. Sentiment is constructively positive throughout, with real scrutiny rather than pure promotion.</w:t>
      </w:r>
    </w:p>
    <w:p>
      <w:pPr>
        <w:spacing w:after="120"/>
      </w:pPr>
      <w:r>
        <w:rPr>
          <w:b/>
          <w:bCs/>
          <w:sz w:val="20"/>
          <w:szCs w:val="20"/>
        </w:rPr>
        <w:t xml:space="preserve">High-conviction call from a top contributor: </w:t>
      </w:r>
      <w:r>
        <w:rPr>
          <w:sz w:val="20"/>
          <w:szCs w:val="20"/>
        </w:rPr>
        <w:t xml:space="preserve">sameernics (TRUSTED, elevated) raised two distinct concerns over time: in 2023, that the stock was highly illiquid and trading in upper circuits on almost no volume ('prone to operator manipulation') while calling it 'predominantly a trading company' commanding a rich P/E of ~40 -- a characterisation rk1771 pushed back on (application, not resale, business); by 2024, sameernics's tone had shifted to acknowledging it as 'a niche play in the paint segment' with 'good prospects.' In Sept-2026, an untrusted new poster (purohitjii) flagged a 69% YoY jump in MD remuneration (traced to a 0.6% sales-linked commission across 4 directors) and asked pointed questions about headcount/facilities disclosure -- unresolved but not escalated by anyone else in the thread as of this run.</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2024-01-01 — undefined</w:t>
      </w:r>
      <w:r>
        <w:rPr>
          <w:i/>
          <w:iCs/>
          <w:color w:val="666666"/>
          <w:sz w:val="18"/>
          <w:szCs w:val="18"/>
        </w:rPr>
        <w:t xml:space="preserve"/>
      </w:r>
      <w:r>
        <w:rPr>
          <w:sz w:val="20"/>
          <w:szCs w:val="20"/>
        </w:rPr>
        <w:br/>
        <w:t xml:space="preserve">: undefined</w:t>
      </w:r>
    </w:p>
    <w:p>
      <w:pPr>
        <w:spacing w:after="100"/>
      </w:pPr>
      <w:r>
        <w:rPr>
          <w:b/>
          <w:bCs/>
          <w:sz w:val="20"/>
          <w:szCs w:val="20"/>
        </w:rPr>
        <w:t xml:space="preserve">2023-01-30 — undefined</w:t>
      </w:r>
      <w:r>
        <w:rPr>
          <w:i/>
          <w:iCs/>
          <w:color w:val="666666"/>
          <w:sz w:val="18"/>
          <w:szCs w:val="18"/>
        </w:rPr>
        <w:t xml:space="preserve"/>
      </w:r>
      <w:r>
        <w:rPr>
          <w:sz w:val="20"/>
          <w:szCs w:val="20"/>
        </w:rPr>
        <w:br/>
        <w:t xml:space="preserve">: undefined</w:t>
      </w:r>
    </w:p>
    <w:p>
      <w:pPr>
        <w:pStyle w:val="Heading1"/>
        <w:spacing w:after="120" w:before="280"/>
      </w:pPr>
      <w:r>
        <w:t xml:space="preserve">BSE Corporate Actions / Other Red Flags</w:t>
      </w:r>
    </w:p>
    <w:p>
      <w:pPr>
        <w:spacing w:after="120"/>
      </w:pPr>
      <w:r>
        <w:t xml:space="preserve">1:1 bonus issue and authorised-capital increase approved May-2024; consistent ~33-50% dividend payout history; large mutual-fund/FD investment book flagged repeatedly by shareholders as under-deployed capital.</w:t>
      </w:r>
    </w:p>
    <w:p>
      <w:pPr>
        <w:pStyle w:val="Heading1"/>
        <w:spacing w:after="120" w:before="280"/>
      </w:pPr>
      <w:r>
        <w:t xml:space="preserve">Bull Case</w:t>
      </w:r>
    </w:p>
    <w:p>
      <w:pPr>
        <w:pStyle w:val="ListParagraph"/>
        <w:numPr>
          <w:ilvl w:val="0"/>
          <w:numId w:val="1"/>
        </w:numPr>
        <w:spacing w:after="60"/>
      </w:pPr>
      <w:r>
        <w:t xml:space="preserve">Debt-free, ~24% ROE, ~18% ROIC, consistent multi-year profitability including through COVID</w:t>
      </w:r>
    </w:p>
    <w:p>
      <w:pPr>
        <w:pStyle w:val="ListParagraph"/>
        <w:numPr>
          <w:ilvl w:val="0"/>
          <w:numId w:val="1"/>
        </w:numPr>
        <w:spacing w:after="60"/>
      </w:pPr>
      <w:r>
        <w:t xml:space="preserve">Structural tailwind: paint application/contracting shifting from unorganised to organised players, a theme repeatedly corroborated by real project wins (hospitals, schools, commercial buildings) over 4 years</w:t>
      </w:r>
    </w:p>
    <w:p>
      <w:pPr>
        <w:pStyle w:val="ListParagraph"/>
        <w:numPr>
          <w:ilvl w:val="0"/>
          <w:numId w:val="1"/>
        </w:numPr>
        <w:spacing w:after="60"/>
      </w:pPr>
      <w:r>
        <w:t xml:space="preserve">18-year exclusive relationship with a reputed Japanese principal (SKK) gives some relationship-based moat/switching-cost advantage in a B2B project business</w:t>
      </w:r>
    </w:p>
    <w:p>
      <w:pPr>
        <w:pStyle w:val="ListParagraph"/>
        <w:numPr>
          <w:ilvl w:val="0"/>
          <w:numId w:val="1"/>
        </w:numPr>
        <w:spacing w:after="60"/>
      </w:pPr>
      <w:r>
        <w:t xml:space="preserve">Optionality: management has flagged (though not yet delivered) plans for an own-branded product line, which could be a path toward becoming a manufacturer rather than a pure applicator (the Sirca Paints precedent cited repeatedly by the thread's OP)</w:t>
      </w:r>
    </w:p>
    <w:p>
      <w:pPr>
        <w:pStyle w:val="Heading1"/>
        <w:spacing w:after="120" w:before="280"/>
      </w:pPr>
      <w:r>
        <w:t xml:space="preserve">Bear Case / Key Risks</w:t>
      </w:r>
    </w:p>
    <w:p>
      <w:pPr>
        <w:pStyle w:val="ListParagraph"/>
        <w:numPr>
          <w:ilvl w:val="0"/>
          <w:numId w:val="1"/>
        </w:numPr>
        <w:spacing w:after="60"/>
      </w:pPr>
      <w:r>
        <w:t xml:space="preserve">Persistent capital-allocation problem: surplus cash parked in mutual funds/FDs rather than reinvested, which will mechanically drag ROE down over time if uncorrected -- flagged by multiple posters across 2024-2026, management's only response is 'cash management'</w:t>
      </w:r>
    </w:p>
    <w:p>
      <w:pPr>
        <w:pStyle w:val="ListParagraph"/>
        <w:numPr>
          <w:ilvl w:val="0"/>
          <w:numId w:val="1"/>
        </w:numPr>
        <w:spacing w:after="60"/>
      </w:pPr>
      <w:r>
        <w:t xml:space="preserve">Small, niche TAM as a pure applicator (not a brand owner) -- ~20-25% growth is solid but not the hypergrowth this project's '10x' bucket implies</w:t>
      </w:r>
    </w:p>
    <w:p>
      <w:pPr>
        <w:pStyle w:val="ListParagraph"/>
        <w:numPr>
          <w:ilvl w:val="0"/>
          <w:numId w:val="1"/>
        </w:numPr>
        <w:spacing w:after="60"/>
      </w:pPr>
      <w:r>
        <w:t xml:space="preserve">Trusted-user liquidity/manipulation caution from 2023 (thin float, upper-circuit moves on no volume) -- a legacy concern for a still-illiquid NSE Emerge micro-cap, even if less acute now with a longer track record</w:t>
      </w:r>
    </w:p>
    <w:p>
      <w:pPr>
        <w:pStyle w:val="ListParagraph"/>
        <w:numPr>
          <w:ilvl w:val="0"/>
          <w:numId w:val="1"/>
        </w:numPr>
        <w:spacing w:after="60"/>
      </w:pPr>
      <w:r>
        <w:t xml:space="preserve">Unresolved governance question (Sept-2026, untrusted poster) about a sharp MD remuneration increase tied to a sales commission structure across 4 directors -- not escalated further in the thread, but unaddressed</w:t>
      </w:r>
    </w:p>
    <w:p>
      <w:pPr>
        <w:pStyle w:val="ListParagraph"/>
        <w:numPr>
          <w:ilvl w:val="0"/>
          <w:numId w:val="1"/>
        </w:numPr>
        <w:spacing w:after="60"/>
      </w:pPr>
      <w:r>
        <w:t xml:space="preserve">No independent product/brand ownership -- remains dependent on the SKK relationship and import supply chain</w:t>
      </w:r>
    </w:p>
    <w:p>
      <w:pPr>
        <w:pStyle w:val="Heading1"/>
        <w:spacing w:after="120" w:before="280"/>
      </w:pPr>
      <w:r>
        <w:t xml:space="preserve">Market-Cap Tier (informational — not a gate in this project)</w:t>
      </w:r>
    </w:p>
    <w:p>
      <w:pPr>
        <w:spacing w:after="120"/>
      </w:pPr>
      <w:r>
        <w:rPr>
          <w:b/>
          <w:bCs/>
        </w:rPr>
        <w:t xml:space="preserve">Micro-cap (~Rs 133 Cr)</w:t>
      </w:r>
    </w:p>
    <w:p>
      <w:pPr>
        <w:pStyle w:val="Heading1"/>
        <w:spacing w:after="120" w:before="280"/>
      </w:pPr>
      <w:r>
        <w:t xml:space="preserve">Thesis Fit</w:t>
      </w:r>
    </w:p>
    <w:p>
      <w:pPr>
        <w:spacing w:after="120"/>
      </w:pPr>
      <w:r>
        <w:rPr>
          <w:b/>
          <w:bCs/>
          <w:sz w:val="24"/>
          <w:szCs w:val="24"/>
        </w:rPr>
        <w:t xml:space="preserve">neither</w:t>
      </w:r>
    </w:p>
    <w:p>
      <w:pPr>
        <w:spacing w:after="120"/>
      </w:pPr>
      <w:r>
        <w:rPr>
          <w:color w:val="666666"/>
          <w:sz w:val="20"/>
          <w:szCs w:val="20"/>
        </w:rPr>
        <w:t xml:space="preserve">4-box gate — tailwind: yes · TAM: weak · moat: weak · valuation: yes  (score 3 / 4)</w:t>
      </w:r>
    </w:p>
    <w:p>
      <w:pPr>
        <w:spacing w:after="120"/>
      </w:pPr>
      <w:r>
        <w:rPr>
          <w:i/>
          <w:iCs/>
          <w:color w:val="666666"/>
          <w:sz w:val="20"/>
          <w:szCs w:val="20"/>
        </w:rPr>
        <w:t xml:space="preserve">tailwind=yes (organised sector taking share from unorganised in paint contracting, corroborated across 4 years of thread posts and real project wins). tam=weak (niche single-brand applicator business -- real but not large; own-brand manufacturing optionality unconfirmed/delayed). moat=weak (18-year exclusive SKK relationship gives B2B switching-cost advantage but the company owns no brand/IP of its own). valuation=yes (~24% ROE, debt-free, reasonable multiple for the growth). Score 3.0 technically permits a return-magnitude label but thesis_fit set to 'neither' on judgment -- growth rate (~20-25%) does not support genuine 10x-in-2-3-years.</w:t>
      </w:r>
    </w:p>
    <w:p>
      <w:pPr>
        <w:pStyle w:val="Heading1"/>
        <w:spacing w:after="120" w:before="280"/>
      </w:pPr>
      <w:r>
        <w:t xml:space="preserve">Verdict</w:t>
      </w:r>
    </w:p>
    <w:p>
      <w:pPr>
        <w:spacing w:after="120"/>
      </w:pPr>
      <w:r>
        <w:rPr>
          <w:b/>
          <w:bCs/>
          <w:sz w:val="24"/>
          <w:szCs w:val="24"/>
        </w:rPr>
        <w:t xml:space="preserve">A genuinely clean, debt-free small-cap compounder growing 20-25% with ~24% ROE, but a steady compounder rather than an asymmetric 10x bet -- capital-allocation drag and a narrow applicator TAM cap the upside case</w:t>
      </w:r>
    </w:p>
    <w:p>
      <w:pPr>
        <w:pStyle w:val="ListParagraph"/>
        <w:numPr>
          <w:ilvl w:val="0"/>
          <w:numId w:val="1"/>
        </w:numPr>
        <w:spacing w:after="60"/>
      </w:pPr>
      <w:r>
        <w:t xml:space="preserve">No live-theme match against active_themes.json (paint contracting/application is not a matched keyword); recency/forum-discovery pass with no theme boost.</w:t>
      </w:r>
    </w:p>
    <w:p>
      <w:pPr>
        <w:pStyle w:val="ListParagraph"/>
        <w:numPr>
          <w:ilvl w:val="0"/>
          <w:numId w:val="1"/>
        </w:numPr>
        <w:spacing w:after="60"/>
      </w:pPr>
      <w:r>
        <w:t xml:space="preserve">four_box: tailwind=yes (organised-vs-unorganised share gain, corroborated across years), tam=weak (niche single-brand applicator business, real but not large), moat=weak (18-yr SKK relationship gives switching-cost advantage but no owned brand/IP), valuation=yes (~24% ROE, debt-free, reasonable multiple for the growth on offer). Score = 3.0, which technically permits a return-magnitude label.</w:t>
      </w:r>
    </w:p>
    <w:p>
      <w:pPr>
        <w:pStyle w:val="ListParagraph"/>
        <w:numPr>
          <w:ilvl w:val="0"/>
          <w:numId w:val="1"/>
        </w:numPr>
        <w:spacing w:after="60"/>
      </w:pPr>
      <w:r>
        <w:t xml:space="preserve">Chose 'neither' over the technically-permitted label anyway: the company's own trajectory (~20-25% steady growth, cash-hoarding rather than reinvestment) does not plausibly support a 10x-in-2-3-years outcome -- this is a quality compounder story, not an asymmetric one, and forcing the label would overstate the thesis.</w:t>
      </w:r>
    </w:p>
    <w:p>
      <w:pPr>
        <w:pStyle w:val="ListParagraph"/>
        <w:numPr>
          <w:ilvl w:val="0"/>
          <w:numId w:val="1"/>
        </w:numPr>
        <w:spacing w:after="60"/>
      </w:pPr>
      <w:r>
        <w:t xml:space="preserve">Conviction Medium: genuine quality (debt-free, high ROE, consistent multi-year execution, real structural tailwind) offset by the capital-allocation drag, narrow TAM as a pure applicator, and the unresolved 2023 trusted-user liquidity/manipulation caution plus the unaddressed 2026 remuneration question.</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2026-09-11T16:11:57.464Z</dcterms:created>
  <dcterms:modified xsi:type="dcterms:W3CDTF">2026-09-11T16:11:57.469Z</dcterms:modified>
</cp:coreProperties>
</file>

<file path=docProps/custom.xml><?xml version="1.0" encoding="utf-8"?>
<Properties xmlns="http://schemas.openxmlformats.org/officeDocument/2006/custom-properties" xmlns:vt="http://schemas.openxmlformats.org/officeDocument/2006/docPropsVTypes"/>
</file>