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South West Pinnacle Exploration</w:t>
      </w:r>
    </w:p>
    <w:p>
      <w:pPr>
        <w:pBdr>
          <w:bottom w:val="single" w:color="CCCCCC" w:sz="6" w:space="8"/>
        </w:pBdr>
        <w:spacing w:after="200"/>
      </w:pPr>
      <w:r>
        <w:rPr>
          <w:i/>
          <w:iCs/>
          <w:color w:val="666666"/>
          <w:sz w:val="22"/>
          <w:szCs w:val="22"/>
        </w:rPr>
        <w:t xml:space="preserve">A small drilling-services contractor riding India's energy self-reliance push, with an all-time-high order book and real operating leverage - but a genuine cash/capex crunch to watch</w:t>
      </w:r>
    </w:p>
    <w:p>
      <w:pPr>
        <w:pStyle w:val="Heading1"/>
        <w:spacing w:after="120" w:before="280"/>
      </w:pPr>
      <w:r>
        <w:t xml:space="preserve">Business Overview</w:t>
      </w:r>
    </w:p>
    <w:p>
      <w:pPr>
        <w:spacing w:after="120"/>
      </w:pPr>
      <w:r>
        <w:t xml:space="preserve">South West Pinnacle Exploration provides coal/mineral/CBM drilling and exploration services, recently expanding into broader energy exploration as India accelerates domestic oil, gas and coal self-reliance policy. The company has been recognized as an accredited prospecting agency for coal/lignite exploration, and is shifting its client mix increasingly toward private clients (from government-heavy work).</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771 Cr</w:t>
            </w:r>
          </w:p>
        </w:tc>
      </w:tr>
      <w:tr>
        <w:tc>
          <w:tcPr>
            <w:tcW w:type="dxa" w:w="3200"/>
            <w:shd w:fill="F2F2F2" w:val="clear"/>
          </w:tcPr>
          <w:p>
            <w:r>
              <w:rPr>
                <w:b/>
                <w:bCs/>
              </w:rPr>
              <w:t xml:space="preserve">ROCE</w:t>
            </w:r>
          </w:p>
        </w:tc>
        <w:tc>
          <w:tcPr>
            <w:tcW w:type="dxa" w:w="5800"/>
          </w:tcPr>
          <w:p>
            <w:r>
              <w:t xml:space="preserve">15.15%</w:t>
            </w:r>
          </w:p>
        </w:tc>
      </w:tr>
      <w:tr>
        <w:tc>
          <w:tcPr>
            <w:tcW w:type="dxa" w:w="3200"/>
            <w:shd w:fill="F2F2F2" w:val="clear"/>
          </w:tcPr>
          <w:p>
            <w:r>
              <w:rPr>
                <w:b/>
                <w:bCs/>
              </w:rPr>
              <w:t xml:space="preserve">ROE (3yr)</w:t>
            </w:r>
          </w:p>
        </w:tc>
        <w:tc>
          <w:tcPr>
            <w:tcW w:type="dxa" w:w="5800"/>
          </w:tcPr>
          <w:p>
            <w:r>
              <w:t xml:space="preserve">11.2% (low-ish)</w:t>
            </w:r>
          </w:p>
        </w:tc>
      </w:tr>
      <w:tr>
        <w:tc>
          <w:tcPr>
            <w:tcW w:type="dxa" w:w="3200"/>
            <w:shd w:fill="F2F2F2" w:val="clear"/>
          </w:tcPr>
          <w:p>
            <w:r>
              <w:rPr>
                <w:b/>
                <w:bCs/>
              </w:rPr>
              <w:t xml:space="preserve">Revenue growth</w:t>
            </w:r>
          </w:p>
        </w:tc>
        <w:tc>
          <w:tcPr>
            <w:tcW w:type="dxa" w:w="5800"/>
          </w:tcPr>
          <w:p>
            <w:r>
              <w:t xml:space="preserve">18.6%</w:t>
            </w:r>
          </w:p>
        </w:tc>
      </w:tr>
      <w:tr>
        <w:tc>
          <w:tcPr>
            <w:tcW w:type="dxa" w:w="3200"/>
            <w:shd w:fill="F2F2F2" w:val="clear"/>
          </w:tcPr>
          <w:p>
            <w:r>
              <w:rPr>
                <w:b/>
                <w:bCs/>
              </w:rPr>
              <w:t xml:space="preserve">Debt/Equity</w:t>
            </w:r>
          </w:p>
        </w:tc>
        <w:tc>
          <w:tcPr>
            <w:tcW w:type="dxa" w:w="5800"/>
          </w:tcPr>
          <w:p>
            <w:r>
              <w:t xml:space="preserve">0.39</w:t>
            </w:r>
          </w:p>
        </w:tc>
      </w:tr>
      <w:tr>
        <w:tc>
          <w:tcPr>
            <w:tcW w:type="dxa" w:w="3200"/>
            <w:shd w:fill="F2F2F2" w:val="clear"/>
          </w:tcPr>
          <w:p>
            <w:r>
              <w:rPr>
                <w:b/>
                <w:bCs/>
              </w:rPr>
              <w:t xml:space="preserve">Order book</w:t>
            </w:r>
          </w:p>
        </w:tc>
        <w:tc>
          <w:tcPr>
            <w:tcW w:type="dxa" w:w="5800"/>
          </w:tcPr>
          <w:p>
            <w:r>
              <w:t xml:space="preserve">Rs 761 Cr (all-time high, per Q1 FY27 update)</w:t>
            </w:r>
          </w:p>
        </w:tc>
      </w:tr>
    </w:tbl>
    <w:p>
      <w:pPr>
        <w:spacing w:after="100"/>
      </w:pPr>
    </w:p>
    <w:p>
      <w:pPr>
        <w:spacing w:after="120"/>
      </w:pPr>
      <w:r>
        <w:t xml:space="preserve">Trailing ROE (11.2%) and ROCE (15.15%) are modest rather than standout, but the current operating picture is genuinely strong: order book at an all-time high (Rs 761 Cr), all existing rigs fully deployed with the company having to hire/subcontract additional rigs (10+) to meet demand, and a real operating-leverage story once existing rigs are fully depreciated (each additional rig then drops straight to the bottom line). Private-client order mix is increasing (77:23 private:government per the most recent update), which management has guided should improve cash collection speed versus historically slower government payment cycles.</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2026-09-09</w:t>
            </w:r>
          </w:p>
        </w:tc>
      </w:tr>
      <w:tr>
        <w:tc>
          <w:tcPr>
            <w:tcW w:type="dxa" w:w="3200"/>
            <w:shd w:fill="F2F2F2" w:val="clear"/>
          </w:tcPr>
          <w:p>
            <w:r>
              <w:rPr>
                <w:b/>
                <w:bCs/>
              </w:rPr>
              <w:t xml:space="preserve">Price / multiple</w:t>
            </w:r>
          </w:p>
        </w:tc>
        <w:tc>
          <w:tcPr>
            <w:tcW w:type="dxa" w:w="5800"/>
          </w:tcPr>
          <w:p>
            <w:r>
              <w:t xml:space="preserve">Rs 227 · 18.5x P/E · 9x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~18-19x trailing earnings on a cyclical drilling-services contractor; against a ~12-14x through-cycle multiple this needs ~20-25% EPS CAGR FY26-28 to be fair -- the market is partly pricing the order-book-led operating-leverage step-up</w:t>
            </w:r>
          </w:p>
        </w:tc>
      </w:tr>
      <w:tr>
        <w:tc>
          <w:tcPr>
            <w:tcW w:type="dxa" w:w="3200"/>
            <w:shd w:fill="F2F2F2" w:val="clear"/>
          </w:tcPr>
          <w:p>
            <w:r>
              <w:rPr>
                <w:b/>
                <w:bCs/>
              </w:rPr>
              <w:t xml:space="preserve">Our FY27</w:t>
            </w:r>
          </w:p>
        </w:tc>
        <w:tc>
          <w:tcPr>
            <w:tcW w:type="dxa" w:w="5800"/>
          </w:tcPr>
          <w:p>
            <w:r>
              <w:t xml:space="preserve">revenue +25-35% on the Rs 761 Cr all-time-high order book and full rig deployment (plus hired rigs); margins expand toward mid-20s% OPM as depreciated rigs drop incremental revenue to PBT; PAT +30-40% but FCF likely still negative on fleet capex</w:t>
            </w:r>
          </w:p>
        </w:tc>
      </w:tr>
      <w:tr>
        <w:tc>
          <w:tcPr>
            <w:tcW w:type="dxa" w:w="3200"/>
            <w:shd w:fill="F2F2F2" w:val="clear"/>
          </w:tcPr>
          <w:p>
            <w:r>
              <w:rPr>
                <w:b/>
                <w:bCs/>
              </w:rPr>
              <w:t xml:space="preserve">Our FY28</w:t>
            </w:r>
          </w:p>
        </w:tc>
        <w:tc>
          <w:tcPr>
            <w:tcW w:type="dxa" w:w="5800"/>
          </w:tcPr>
          <w:p>
            <w:r>
              <w:t xml:space="preserve">further growth if order intake holds and private-client mix speeds collections; operating leverage the main driver</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the order book and rig-depreciation operating-leverage mechanism are real and only partly in an ~18x multiple, but modest trailing ROE (~11%), negative free cash flow and an unresolved accounting question (Other Operating Expense jump, undisclosed coal-trading exit) cap the upside vs the implied path</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15.15% (improving)</w:t>
            </w:r>
          </w:p>
        </w:tc>
      </w:tr>
      <w:tr>
        <w:tc>
          <w:tcPr>
            <w:tcW w:type="dxa" w:w="3200"/>
            <w:shd w:fill="F2F2F2" w:val="clear"/>
          </w:tcPr>
          <w:p>
            <w:r>
              <w:rPr>
                <w:b/>
                <w:bCs/>
              </w:rPr>
              <w:t xml:space="preserve">Leverage</w:t>
            </w:r>
          </w:p>
        </w:tc>
        <w:tc>
          <w:tcPr>
            <w:tcW w:type="dxa" w:w="5800"/>
          </w:tcPr>
          <w:p>
            <w:r>
              <w:t xml:space="preserve">Net debt/EBITDA 1x</w:t>
            </w:r>
          </w:p>
        </w:tc>
      </w:tr>
      <w:tr>
        <w:tc>
          <w:tcPr>
            <w:tcW w:type="dxa" w:w="3200"/>
            <w:shd w:fill="F2F2F2" w:val="clear"/>
          </w:tcPr>
          <w:p>
            <w:r>
              <w:rPr>
                <w:b/>
                <w:bCs/>
              </w:rPr>
              <w:t xml:space="preserve">FCF conversion</w:t>
            </w:r>
          </w:p>
        </w:tc>
        <w:tc>
          <w:tcPr>
            <w:tcW w:type="dxa" w:w="5800"/>
          </w:tcPr>
          <w:p>
            <w:r>
              <w:t xml:space="preserve">-19%</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9 years (consistency_score 22)</w:t>
      </w:r>
    </w:p>
    <w:p>
      <w:pPr>
        <w:spacing w:after="120"/>
      </w:pPr>
      <w:r>
        <w:rPr>
          <w:color w:val="666666"/>
          <w:sz w:val="18"/>
          <w:szCs w:val="18"/>
        </w:rPr>
        <w:t xml:space="preserve">Per screener.in consolidated (FY18-FY26): only FY25 (+35% revenue / ROCE 20%) is a clean pass; FY26 (+35% revenue, ROCE ~15% per company Q1 FY27 update, not yet on screener) is a marginal pass. FY18-FY24 all had ROCE 8-13%, below the 15% bar, even in years revenue grew &gt;10% (FY21 +21%, FY22 +14%). The operating-leverage inflection is FY25-onwards only.</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full 42-post thread (single batch - entire thread history captured, spanning October 2024 to August 2026). Sentiment has strengthened meaningfully through 2026: from an accounting-quality question raised by a trusted user in late 2025 (which appears to have been resolved by a subsequent positive regulatory development), through a detailed 'mispriced' deep-dive in May 2026, to consistently strong Q1 FY27 results and an all-time-high order book by August 2026.</w:t>
      </w:r>
    </w:p>
    <w:p>
      <w:pPr>
        <w:spacing w:after="120"/>
      </w:pPr>
      <w:r>
        <w:rPr>
          <w:b/>
          <w:bCs/>
          <w:sz w:val="20"/>
          <w:szCs w:val="20"/>
        </w:rPr>
        <w:t xml:space="preserve">High-conviction call from a top contributor: </w:t>
      </w:r>
      <w:r>
        <w:rPr>
          <w:sz w:val="20"/>
          <w:szCs w:val="20"/>
        </w:rPr>
        <w:t xml:space="preserve">Chandragupta (trusted-roster) raised a specific accounting-quality question in Nov-Dec 2025 - an unexplained exit from the coal-trading business not disclosed in investor materials, alongside a 'sudden and disproportionate increase in Other Operating Expense' - and was notably skeptical of the company's own self-congratulatory press release language around a subsequent accreditation announcement. This concern does not appear to have been directly and explicitly resolved in the thread, though it also was not echoed or escalated by later posters. Kkd did a detailed operating-leverage deep-dive (May 2026) explaining the rig-depreciation dynamic and flagged the business as potentially mispriced, followed by consistent quarterly updates through July 2026 confirming order-book strength (Disc: invested). BuyHighSellLow (Aug 2026) flagged capex/cash funding as 'really tight' going forward - a real, current risk to weigh against the growth story.</w:t>
      </w:r>
    </w:p>
    <w:p>
      <w:pPr>
        <w:pStyle w:val="Heading1"/>
        <w:spacing w:after="120" w:before="280"/>
      </w:pPr>
      <w:r>
        <w:t xml:space="preserve">BSE Corporate Actions / Other Red Flags</w:t>
      </w:r>
    </w:p>
    <w:p>
      <w:pPr>
        <w:spacing w:after="120"/>
      </w:pPr>
      <w:r>
        <w:t xml:space="preserve">Not independently checked this pass.</w:t>
      </w:r>
    </w:p>
    <w:p>
      <w:pPr>
        <w:pStyle w:val="Heading1"/>
        <w:spacing w:after="120" w:before="280"/>
      </w:pPr>
      <w:r>
        <w:t xml:space="preserve">Bull Case</w:t>
      </w:r>
    </w:p>
    <w:p>
      <w:pPr>
        <w:pStyle w:val="ListParagraph"/>
        <w:numPr>
          <w:ilvl w:val="0"/>
          <w:numId w:val="1"/>
        </w:numPr>
        <w:spacing w:after="60"/>
      </w:pPr>
      <w:r>
        <w:t xml:space="preserve">Order book at an all-time high (Rs 761 Cr) with rigs fully deployed and demand strong enough that the company is hiring/subcontracting 10+ extra rigs</w:t>
      </w:r>
    </w:p>
    <w:p>
      <w:pPr>
        <w:pStyle w:val="ListParagraph"/>
        <w:numPr>
          <w:ilvl w:val="0"/>
          <w:numId w:val="1"/>
        </w:numPr>
        <w:spacing w:after="60"/>
      </w:pPr>
      <w:r>
        <w:t xml:space="preserve">Real operating-leverage story: once rigs are fully depreciated, incremental revenue drops largely to the bottom line</w:t>
      </w:r>
    </w:p>
    <w:p>
      <w:pPr>
        <w:pStyle w:val="ListParagraph"/>
        <w:numPr>
          <w:ilvl w:val="0"/>
          <w:numId w:val="1"/>
        </w:numPr>
        <w:spacing w:after="60"/>
      </w:pPr>
      <w:r>
        <w:t xml:space="preserve">Structural policy tailwind from India's accelerating push for domestic energy (oil, gas, coal) self-reliance, reinforced by geopolitical triggers referenced in the thread</w:t>
      </w:r>
    </w:p>
    <w:p>
      <w:pPr>
        <w:pStyle w:val="ListParagraph"/>
        <w:numPr>
          <w:ilvl w:val="0"/>
          <w:numId w:val="1"/>
        </w:numPr>
        <w:spacing w:after="60"/>
      </w:pPr>
      <w:r>
        <w:t xml:space="preserve">Shifting client mix toward private clients (77:23 private:government) should improve cash collection cycles versus a historically government-heavy book</w:t>
      </w:r>
    </w:p>
    <w:p>
      <w:pPr>
        <w:pStyle w:val="ListParagraph"/>
        <w:numPr>
          <w:ilvl w:val="0"/>
          <w:numId w:val="1"/>
        </w:numPr>
        <w:spacing w:after="60"/>
      </w:pPr>
      <w:r>
        <w:t xml:space="preserve">Small market cap (~Rs 771 Cr) leaves genuine room for a 10x case if the order-book momentum and margin expansion continue</w:t>
      </w:r>
    </w:p>
    <w:p>
      <w:pPr>
        <w:pStyle w:val="Heading1"/>
        <w:spacing w:after="120" w:before="280"/>
      </w:pPr>
      <w:r>
        <w:t xml:space="preserve">Bear Case / Key Risks</w:t>
      </w:r>
    </w:p>
    <w:p>
      <w:pPr>
        <w:pStyle w:val="ListParagraph"/>
        <w:numPr>
          <w:ilvl w:val="0"/>
          <w:numId w:val="1"/>
        </w:numPr>
        <w:spacing w:after="60"/>
      </w:pPr>
      <w:r>
        <w:t xml:space="preserve">A trusted user (Chandragupta) raised a specific, unexplained accounting question in late 2025 - an undisclosed coal-trading business exit alongside a disproportionate increase in Other Operating Expense - that does not appear to have been directly and explicitly closed out later in the thread</w:t>
      </w:r>
    </w:p>
    <w:p>
      <w:pPr>
        <w:pStyle w:val="ListParagraph"/>
        <w:numPr>
          <w:ilvl w:val="0"/>
          <w:numId w:val="1"/>
        </w:numPr>
        <w:spacing w:after="60"/>
      </w:pPr>
      <w:r>
        <w:t xml:space="preserve">Cash/capex funding flagged as 'really tight' in the most recent (Aug 2026) community post - the rig-fleet expansion and JV advancement both require capital that may be constrained even as the order book grows</w:t>
      </w:r>
    </w:p>
    <w:p>
      <w:pPr>
        <w:pStyle w:val="ListParagraph"/>
        <w:numPr>
          <w:ilvl w:val="0"/>
          <w:numId w:val="1"/>
        </w:numPr>
        <w:spacing w:after="60"/>
      </w:pPr>
      <w:r>
        <w:t xml:space="preserve">Trailing ROE (11.2%) is modest and has not yet caught up with the current order-book strength - the operating-leverage thesis is still largely prospective rather than already showing up fully in reported returns</w:t>
      </w:r>
    </w:p>
    <w:p>
      <w:pPr>
        <w:pStyle w:val="ListParagraph"/>
        <w:numPr>
          <w:ilvl w:val="0"/>
          <w:numId w:val="1"/>
        </w:numPr>
        <w:spacing w:after="60"/>
      </w:pPr>
      <w:r>
        <w:t xml:space="preserve">Government-linked exploration/coal-policy work can be lumpy and politically/regulatory-cycle dependent even as private-client mix grows</w:t>
      </w:r>
    </w:p>
    <w:p>
      <w:pPr>
        <w:pStyle w:val="Heading1"/>
        <w:spacing w:after="120" w:before="280"/>
      </w:pPr>
      <w:r>
        <w:t xml:space="preserve">Market-Cap Tier (informational — not a gate in this project)</w:t>
      </w:r>
    </w:p>
    <w:p>
      <w:pPr>
        <w:spacing w:after="120"/>
      </w:pPr>
      <w:r>
        <w:rPr>
          <w:b/>
          <w:bCs/>
        </w:rPr>
        <w:t xml:space="preserve">Small-cap (~Rs 771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no · valuation: weak  (score 2.5 / 4)</w:t>
      </w:r>
    </w:p>
    <w:p>
      <w:pPr>
        <w:spacing w:after="120"/>
      </w:pPr>
      <w:r>
        <w:rPr>
          <w:i/>
          <w:iCs/>
          <w:color w:val="666666"/>
          <w:sz w:val="20"/>
          <w:szCs w:val="20"/>
        </w:rPr>
        <w:t xml:space="preserve">India energy self-reliance policy tailwind and order-book at all-time high (Rs 761cr, rigs fully deployed) support tailwind/tam; no moat discussed for a rig-services business; no valuation/market_expectation data recorded; unresolved accounting question + cash-tightness flag are separate risks.</w:t>
      </w:r>
    </w:p>
    <w:p>
      <w:pPr>
        <w:pStyle w:val="Heading1"/>
        <w:spacing w:after="120" w:before="280"/>
      </w:pPr>
      <w:r>
        <w:t xml:space="preserve">Verdict</w:t>
      </w:r>
    </w:p>
    <w:p>
      <w:pPr>
        <w:spacing w:after="120"/>
      </w:pPr>
      <w:r>
        <w:rPr>
          <w:b/>
          <w:bCs/>
          <w:sz w:val="24"/>
          <w:szCs w:val="24"/>
        </w:rPr>
        <w:t xml:space="preserve">A genuine order-book and operating-leverage inflection on a real policy tailwind, tempered by an unresolved accounting question and a tight near-term cash position</w:t>
      </w:r>
    </w:p>
    <w:p>
      <w:pPr>
        <w:pStyle w:val="ListParagraph"/>
        <w:numPr>
          <w:ilvl w:val="0"/>
          <w:numId w:val="1"/>
        </w:numPr>
        <w:spacing w:after="60"/>
      </w:pPr>
      <w:r>
        <w:t xml:space="preserve">The order book (Rs 761 Cr, all-time high) and rig-deployment story are current, verified facts, not projections, and the operating-leverage mechanism (rig depreciation) is a well-understood, credible driver of future margin expansion</w:t>
      </w:r>
    </w:p>
    <w:p>
      <w:pPr>
        <w:pStyle w:val="ListParagraph"/>
        <w:numPr>
          <w:ilvl w:val="0"/>
          <w:numId w:val="1"/>
        </w:numPr>
        <w:spacing w:after="60"/>
      </w:pPr>
      <w:r>
        <w:t xml:space="preserve">Small market cap (~Rs 771 Cr) and a structural India energy self-reliance tailwind make 10x mathematically and thematically plausible over 2-3 years if execution and cash management hold up</w:t>
      </w:r>
    </w:p>
    <w:p>
      <w:pPr>
        <w:pStyle w:val="ListParagraph"/>
        <w:numPr>
          <w:ilvl w:val="0"/>
          <w:numId w:val="1"/>
        </w:numPr>
        <w:spacing w:after="60"/>
      </w:pPr>
      <w:r>
        <w:t xml:space="preserve">Given the trusted user's unresolved accounting question and the explicit near-term cash-tightness flag from the most recent community post, this warrants low-to-medium conviction with close monitoring of the next 1-2 quarters' cash flow and capex funding, rather than a high-conviction call</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2026-09-09T18:20:28.913Z</dcterms:created>
  <dcterms:modified xsi:type="dcterms:W3CDTF">2026-09-09T18:20:28.914Z</dcterms:modified>
</cp:coreProperties>
</file>

<file path=docProps/custom.xml><?xml version="1.0" encoding="utf-8"?>
<Properties xmlns="http://schemas.openxmlformats.org/officeDocument/2006/custom-properties" xmlns:vt="http://schemas.openxmlformats.org/officeDocument/2006/docPropsVTypes"/>
</file>