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Susan Electricals India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Just-listed small-cap maker of aluminium/copper winding wires, conductors and power cables for DISCOMs -- riding the grid-capex wave with 250%+ YoY revenue growth and a 60% capacity expansion, but the product is a commodity and the returns ratios flatter a tiny post-IPO equity base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Susan Electricals India (BSE: 544793, recently listed) manufactures aluminium- and copper-based electrical winding wires, conductors and power cables. It sells primarily to state electricity distribution companies (DISCOMs), EPC contractors, infrastructure companies and electrical-product OEMs. Revenue grew from ~Rs 49 Cr (FY21) to ~Rs 269 Cr (FY26); Q1 FY27 revenue ~Rs 95 Cr, +254% YoY. Capacity is being expanded ~60%.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651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~37% / ~64.6% (3-yr ROE ~54% -- inflated by a small post-IPO equity base)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~Rs 269 Cr FY26 (~449% over 5 years); Q1 FY27 ~Rs 95 Cr, +254%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growth</w:t>
            </w:r>
          </w:p>
        </w:tc>
        <w:tc>
          <w:tcPr>
            <w:tcW w:type="dxa" w:w="5800"/>
          </w:tcPr>
          <w:p>
            <w:r>
              <w:t xml:space="preserve">~196% PAT CAGR over 5 years (off a tiny base)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~26x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52-wk range</w:t>
            </w:r>
          </w:p>
        </w:tc>
        <w:tc>
          <w:tcPr>
            <w:tcW w:type="dxa" w:w="5800"/>
          </w:tcPr>
          <w:p>
            <w:r>
              <w:t xml:space="preserve">~Rs 181 - 367 (CMP ~Rs 320)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growth is real and the balance sheet is currently clean, but two cautions: (1) winding wire / ACSR-type conductors are a fragmented commodity where realisations track LME aluminium/copper plus a thin conversion spread -- there is no pricing power; (2) ROE in the 50-64% band is a function of a very small equity base just after a SME-scale IPO and will normalise sharply as the balance sheet grows to fund the capex and working capital. DISCOM receivables are a structural working-capital risk in this customer segment.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320 · 26x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~26x trailing on a fragmented-commodity conductor/cable maker prices in continued hyper-growth; realisations are metal pass-through plus a thin conversion spread, so a durable &gt;20% earnings CAGR needs the ~60% capacity expansion to fill without margin or receivable slippage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350-420 Cr (growth decelerating off the FY26 trading-led spike), PAT ~Rs 20-26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450-550 Cr, PAT ~Rs 26-34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26x P/E on a commodity converter whose FY26 growth was partly trading-led and whose headline 50-64% ROE is a small-post-IPO-equity artefact that compresses as capex + working capital pull in external funding.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Grid / transmission equipment (transformers, HV switchgear, HVDC, CRGO, insulators)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Low-value-add commodity input (aluminium/copper winding wire, ACSR-type conductors, LT/HT power cables) feeding DISCOM distribution-network build-out and electrical OEMs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Sits at the least-differentiated end of the grid value chain; the theme tailwind is real but the economics are volume, not margin.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29.1%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Trading in the upper half of a wide post-listing range.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 (search of categories 11/14/17 returned no match) -- topic_slug set null. Research is web/filings-based. Third-party coverage frames it as a grid-modernisation beneficiary and debates whether 279% revenue growth justifies the post-listing rally.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coverage. Lead originated from an untrusted X-triage handle (@BeatTheStreet10).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corporate-action red flags identified in the available window. Standard small/recently-listed-company caveats apply (limited public history, thin float).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exposure to a priority-1, accelerating theme -- grid / transmission equipment (conductors, cables) as India ramps distribution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Explosive recent growth (Q1 FY27 revenue +254% YoY) with a ~60% capacity expansion underway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headline ROCE/ROE and currently low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Undemanding-looking ~26x P/E relative to the growth rate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Winding wire / conductors are a commodity -- realisation is metal price plus a thin conversion margin, no 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50-64% is a small-post-IPO-equity-base artefact and will compress materially as the company scales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DISCOM / EPC customer base carries structural receivables and payment-cycle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short listed history; growth is off a tiny base and may not annualise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+ working capital will require external funding, diluting the clean balance sheet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651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no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tailwind=yes (priority-1 accelerating grid-capex theme, conductor/cable keywords). tam=weak (commodity segment, small conversion-spread pool). moat=no (no pricing power, fragmented). valuation=weak (~26x with hyper-growth but SME re-rating/de-rating risk). Score 2.0 with a written un-ignorable-growth exception -&gt; return-magnitude label permitted, conviction capped at Medium.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 grid-capex growth story at an early, high-risk stage -- label allowed only on the small-cap live-inflection carve-out; conviction Low-Medium,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match: priority-1 'Grid / transmission equipment' (keywords conductor, cable, high voltage, substation) -- an accelerating global tailwind, which is why an early-stage commodity name still gets the return-magnitude label.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Written exception (four_box score 2.0): un-ignorable recent growth -- Q1 FY27 revenue +254% YoY plus a ~60% capacity expansion into a live, accelerating grid-capex cycle -- justifies '10x-in-2-3-years' despite tam=weak and moat=no; conviction is capped at Medium and set at Low-Medium with an 'unconfirmed' caveat because the product has no pricing power and the returns ratios are flattered by a tiny equity base.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after two quarters: does revenue growth annualise, does ROCE hold as the balance sheet scales, and are DISCOM receivables staying in control. Not marked revisit_after_30d (conviction below Medium-High).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2026-09-09T18:39:10.290Z</dcterms:created>
  <dcterms:modified xsi:type="dcterms:W3CDTF">2026-09-09T18:39:10.291Z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