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TGV SRAAC Ltd</w:t>
      </w:r>
    </w:p>
    <w:p>
      <w:pPr>
        <w:pBdr>
          <w:bottom w:val="single" w:color="CCCCCC" w:sz="6" w:space="8"/>
        </w:pBdr>
        <w:spacing w:after="200"/>
      </w:pPr>
      <w:r>
        <w:rPr>
          <w:i/>
          <w:iCs/>
          <w:color w:val="666666"/>
          <w:sz w:val="22"/>
          <w:szCs w:val="22"/>
        </w:rPr>
        <w:t xml:space="preserve">Forward-integrated, low-cost chlor-alkali producer trading cheap on genuine solar-driven cost reduction and a China-supply-cut caustic-price tailwind, but unfriendly to shareholders</w:t>
      </w:r>
    </w:p>
    <w:p>
      <w:pPr>
        <w:pStyle w:val="Heading1"/>
        <w:spacing w:after="120" w:before="280"/>
      </w:pPr>
      <w:r>
        <w:t xml:space="preserve">Business Overview</w:t>
      </w:r>
    </w:p>
    <w:p>
      <w:pPr>
        <w:spacing w:after="120"/>
      </w:pPr>
      <w:r>
        <w:t xml:space="preserve">TGV SRAAC (formerly Sree Rayalseema Alkalies &amp; Allied Chemicals) produces chlor-alkali products (caustic soda, chlorine), chloromethanes, castor derivatives and fatty acids, with a strategy of forward-integrating chlorine into higher-value downstream chemicals and aggressively adding captive solar power to cut input costs.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1,138 Cr</w:t>
            </w:r>
          </w:p>
        </w:tc>
      </w:tr>
      <w:tr>
        <w:tc>
          <w:tcPr>
            <w:tcW w:type="dxa" w:w="3200"/>
            <w:shd w:fill="F2F2F2" w:val="clear"/>
          </w:tcPr>
          <w:p>
            <w:r>
              <w:rPr>
                <w:b/>
                <w:bCs/>
              </w:rPr>
              <w:t xml:space="preserve">ROCE</w:t>
            </w:r>
          </w:p>
        </w:tc>
        <w:tc>
          <w:tcPr>
            <w:tcW w:type="dxa" w:w="5800"/>
          </w:tcPr>
          <w:p>
            <w:r>
              <w:t xml:space="preserve">12.7%</w:t>
            </w:r>
          </w:p>
        </w:tc>
      </w:tr>
      <w:tr>
        <w:tc>
          <w:tcPr>
            <w:tcW w:type="dxa" w:w="3200"/>
            <w:shd w:fill="F2F2F2" w:val="clear"/>
          </w:tcPr>
          <w:p>
            <w:r>
              <w:rPr>
                <w:b/>
                <w:bCs/>
              </w:rPr>
              <w:t xml:space="preserve">ROE</w:t>
            </w:r>
          </w:p>
        </w:tc>
        <w:tc>
          <w:tcPr>
            <w:tcW w:type="dxa" w:w="5800"/>
          </w:tcPr>
          <w:p>
            <w:r>
              <w:t xml:space="preserve">10.7%</w:t>
            </w:r>
          </w:p>
        </w:tc>
      </w:tr>
      <w:tr>
        <w:tc>
          <w:tcPr>
            <w:tcW w:type="dxa" w:w="3200"/>
            <w:shd w:fill="F2F2F2" w:val="clear"/>
          </w:tcPr>
          <w:p>
            <w:r>
              <w:rPr>
                <w:b/>
                <w:bCs/>
              </w:rPr>
              <w:t xml:space="preserve">Stock P/E</w:t>
            </w:r>
          </w:p>
        </w:tc>
        <w:tc>
          <w:tcPr>
            <w:tcW w:type="dxa" w:w="5800"/>
          </w:tcPr>
          <w:p>
            <w:r>
              <w:t xml:space="preserve">8.21</w:t>
            </w:r>
          </w:p>
        </w:tc>
      </w:tr>
      <w:tr>
        <w:tc>
          <w:tcPr>
            <w:tcW w:type="dxa" w:w="3200"/>
            <w:shd w:fill="F2F2F2" w:val="clear"/>
          </w:tcPr>
          <w:p>
            <w:r>
              <w:rPr>
                <w:b/>
                <w:bCs/>
              </w:rPr>
              <w:t xml:space="preserve">Revenue growth</w:t>
            </w:r>
          </w:p>
        </w:tc>
        <w:tc>
          <w:tcPr>
            <w:tcW w:type="dxa" w:w="5800"/>
          </w:tcPr>
          <w:p>
            <w:r>
              <w:t xml:space="preserve">12.72%</w:t>
            </w:r>
          </w:p>
        </w:tc>
      </w:tr>
      <w:tr>
        <w:tc>
          <w:tcPr>
            <w:tcW w:type="dxa" w:w="3200"/>
            <w:shd w:fill="F2F2F2" w:val="clear"/>
          </w:tcPr>
          <w:p>
            <w:r>
              <w:rPr>
                <w:b/>
                <w:bCs/>
              </w:rPr>
              <w:t xml:space="preserve">52-week range</w:t>
            </w:r>
          </w:p>
        </w:tc>
        <w:tc>
          <w:tcPr>
            <w:tcW w:type="dxa" w:w="5800"/>
          </w:tcPr>
          <w:p>
            <w:r>
              <w:t xml:space="preserve">Rs 78.10 - 142.25</w:t>
            </w:r>
          </w:p>
        </w:tc>
      </w:tr>
    </w:tbl>
    <w:p>
      <w:pPr>
        <w:spacing w:after="100"/>
      </w:pPr>
    </w:p>
    <w:p>
      <w:pPr>
        <w:spacing w:after="120"/>
      </w:pPr>
      <w:r>
        <w:t xml:space="preserve">Cheap on an absolute basis (8.2x trailing P/E) with double-digit ROCE/ROE and improving quarterly trends — Q1FY27 sales +11%/PAT +17% YoY, on top of a Q1FY26 quarter that saw revenue +29%/EBITDA +124%/PAT +182% YoY (adjusted for one-offs). One community estimate put FY26 PAT potential near Rs 200 Cr against the then-current ~5x forward earnings.</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2026-09-09</w:t>
            </w:r>
          </w:p>
        </w:tc>
      </w:tr>
      <w:tr>
        <w:tc>
          <w:tcPr>
            <w:tcW w:type="dxa" w:w="3200"/>
            <w:shd w:fill="F2F2F2" w:val="clear"/>
          </w:tcPr>
          <w:p>
            <w:r>
              <w:rPr>
                <w:b/>
                <w:bCs/>
              </w:rPr>
              <w:t xml:space="preserve">Price / multiple</w:t>
            </w:r>
          </w:p>
        </w:tc>
        <w:tc>
          <w:tcPr>
            <w:tcW w:type="dxa" w:w="5800"/>
          </w:tcPr>
          <w:p>
            <w:r>
              <w:t xml:space="preserve">Rs 107 · 8.27x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~8x trailing P/E the market prices mid-cycle normalisation / an earnings decline; ~0-5% EPS CAGR justifies today's multiple on an ~8-10x cyclical exit</w:t>
            </w:r>
          </w:p>
        </w:tc>
      </w:tr>
      <w:tr>
        <w:tc>
          <w:tcPr>
            <w:tcW w:type="dxa" w:w="3200"/>
            <w:shd w:fill="F2F2F2" w:val="clear"/>
          </w:tcPr>
          <w:p>
            <w:r>
              <w:rPr>
                <w:b/>
                <w:bCs/>
              </w:rPr>
              <w:t xml:space="preserve">Our FY27</w:t>
            </w:r>
          </w:p>
        </w:tc>
        <w:tc>
          <w:tcPr>
            <w:tcW w:type="dxa" w:w="5800"/>
          </w:tcPr>
          <w:p>
            <w:r>
              <w:t xml:space="preserve">revenue +10-12%, OPM held high-teens on solar cost savings + caustic tailwind, PAT +15-20%</w:t>
            </w:r>
          </w:p>
        </w:tc>
      </w:tr>
      <w:tr>
        <w:tc>
          <w:tcPr>
            <w:tcW w:type="dxa" w:w="3200"/>
            <w:shd w:fill="F2F2F2" w:val="clear"/>
          </w:tcPr>
          <w:p>
            <w:r>
              <w:rPr>
                <w:b/>
                <w:bCs/>
              </w:rPr>
              <w:t xml:space="preserve">Our FY28</w:t>
            </w:r>
          </w:p>
        </w:tc>
        <w:tc>
          <w:tcPr>
            <w:tcW w:type="dxa" w:w="5800"/>
          </w:tcPr>
          <w:p>
            <w:r>
              <w:t xml:space="preserve">flat-to-down risk as Reliance/Adani caustic capacity lands 2027-28</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cheap on trailing earnings with solar-driven cost reduction and the China/Europe caustic tailwind under-appreciated; but 2027-28 domestic caustic oversupply (Reliance, Adani) and weak shareholder communication cap the re-rating.</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13% (improving)</w:t>
            </w:r>
          </w:p>
        </w:tc>
      </w:tr>
      <w:tr>
        <w:tc>
          <w:tcPr>
            <w:tcW w:type="dxa" w:w="3200"/>
            <w:shd w:fill="F2F2F2" w:val="clear"/>
          </w:tcPr>
          <w:p>
            <w:r>
              <w:rPr>
                <w:b/>
                <w:bCs/>
              </w:rPr>
              <w:t xml:space="preserve">Leverage</w:t>
            </w:r>
          </w:p>
        </w:tc>
        <w:tc>
          <w:tcPr>
            <w:tcW w:type="dxa" w:w="5800"/>
          </w:tcPr>
          <w:p>
            <w:r>
              <w:t xml:space="preserve">Net debt/EBITDA 1x</w:t>
            </w:r>
          </w:p>
        </w:tc>
      </w:tr>
      <w:tr>
        <w:tc>
          <w:tcPr>
            <w:tcW w:type="dxa" w:w="3200"/>
            <w:shd w:fill="F2F2F2" w:val="clear"/>
          </w:tcPr>
          <w:p>
            <w:r>
              <w:rPr>
                <w:b/>
                <w:bCs/>
              </w:rPr>
              <w:t xml:space="preserve">FCF conversion</w:t>
            </w:r>
          </w:p>
        </w:tc>
        <w:tc>
          <w:tcPr>
            <w:tcW w:type="dxa" w:w="5800"/>
          </w:tcPr>
          <w:p>
            <w:r>
              <w:t xml:space="preserve">-1%</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3 of the last 9 years (consistency_score 33)</w:t>
      </w:r>
    </w:p>
    <w:p>
      <w:pPr>
        <w:spacing w:after="120"/>
      </w:pPr>
      <w:r>
        <w:rPr>
          <w:color w:val="666666"/>
          <w:sz w:val="18"/>
          <w:szCs w:val="18"/>
        </w:rPr>
        <w:t xml:space="preserve">Screener FY18-FY26: rev growth &gt;=10% AND ROCE &gt;=15% both cleared in only 3 of 9 (FY19 15%/22%, FY22 51%/21%, FY23 53%/38%) - the caustic up-cycle years. FY24 collapsed (-34% sales, 5% ROCE); FY25-26 recovered on revenue but ROCE stuck at 10-13%. Cyclical commodity chemical.</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165 fetched posts (2024-11 to 2026-08), single batch. Sentiment is consistently constructive on the operating story: heavy forward integration into chlorine derivatives insulates the company from industry-wide negative chlorine realizations (a headwind DCM Shriram and others explicitly flagged in their own concalls), aggressive captive-solar capacity additions are structurally lowering power costs (the largest input cost in caustic production), and China anti-involution measures plus European capacity shutdowns (Ineos Inovyn, Dow) are seen as multi-year caustic-price tailwinds. The recurring negative theme across the whole period is management's poor shareholder communication — no press releases, minimal concalls, low dividends despite strong profitability, and a pattern of pre-emptive write-offs from ongoing APERC (state electricity regulator) power-cost litigation.</w:t>
      </w:r>
    </w:p>
    <w:p>
      <w:pPr>
        <w:spacing w:after="120"/>
      </w:pPr>
      <w:r>
        <w:rPr>
          <w:b/>
          <w:bCs/>
          <w:sz w:val="20"/>
          <w:szCs w:val="20"/>
        </w:rPr>
        <w:t xml:space="preserve">High-conviction call from a top contributor: </w:t>
      </w:r>
      <w:r>
        <w:rPr>
          <w:sz w:val="20"/>
          <w:szCs w:val="20"/>
        </w:rPr>
        <w:t xml:space="preserve">Phaeton was the most technically detailed and consistently engaged poster across the thread (not on the trusted roster but highly substantive), tracking ECU (caustic+chlorine) realizations, capacity additions, and APERC litigation write-offs in granular detail. Trusted user Prabhat_Mohanty repeatedly argued the stock is 'damn cheap from whatever angle' given replacement-cost economics, capacity build-up, and improving low-cost power position, but explicitly attributed the persistent undervaluation to 'promoters' total disdain for retail investors' rather than any operational weakness.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2026-08-16 — Prabhat_Mohanty</w:t>
      </w:r>
      <w:r>
        <w:rPr>
          <w:i/>
          <w:iCs/>
          <w:color w:val="666666"/>
          <w:sz w:val="18"/>
          <w:szCs w:val="18"/>
        </w:rPr>
        <w:t xml:space="preserve"> (TGV SRAAC)</w:t>
      </w:r>
      <w:r>
        <w:rPr>
          <w:sz w:val="20"/>
          <w:szCs w:val="20"/>
        </w:rPr>
        <w:br/>
        <w:t xml:space="preserve">: Reiterated conviction that the stock is cheap 'from whatever angle' (management capability, capacity, integrity, financial ratios) but flagged that better shareholder communication (concalls, dividends) would be needed for the market to properly re-rate it.</w:t>
      </w:r>
    </w:p>
    <w:p>
      <w:pPr>
        <w:spacing w:after="100"/>
      </w:pPr>
      <w:r>
        <w:rPr>
          <w:b/>
          <w:bCs/>
          <w:sz w:val="20"/>
          <w:szCs w:val="20"/>
        </w:rPr>
        <w:t xml:space="preserve">2026-04-02 — Prabhat_Mohanty</w:t>
      </w:r>
      <w:r>
        <w:rPr>
          <w:i/>
          <w:iCs/>
          <w:color w:val="666666"/>
          <w:sz w:val="18"/>
          <w:szCs w:val="18"/>
        </w:rPr>
        <w:t xml:space="preserve"> (TGV SRAAC)</w:t>
      </w:r>
      <w:r>
        <w:rPr>
          <w:sz w:val="20"/>
          <w:szCs w:val="20"/>
        </w:rPr>
        <w:br/>
        <w:t xml:space="preserve">: Argued the stock is significantly undervalued on replacement-cost and capacity-build-up grounds, attributing the languishing valuation specifically to poor promoter/shareholder communication (no concalls, minimal disclosure) rather than to weak fundamentals, which he called genuinely strong.</w:t>
      </w:r>
    </w:p>
    <w:p>
      <w:pPr>
        <w:pStyle w:val="Heading1"/>
        <w:spacing w:after="120" w:before="280"/>
      </w:pPr>
      <w:r>
        <w:t xml:space="preserve">BSE Corporate Actions / Other Red Flags</w:t>
      </w:r>
    </w:p>
    <w:p>
      <w:pPr>
        <w:spacing w:after="120"/>
      </w:pPr>
      <w:r>
        <w:t xml:space="preserve">History of litigation with Andhra Pradesh Electricity Regulatory Commission (APERC) over retrospective power-cost demands, which the company contests and occasionally has to pre-emptively write off, then write back when it wins — a recurring, disclosed pattern rather than a new red flag.</w:t>
      </w:r>
    </w:p>
    <w:p>
      <w:pPr>
        <w:pStyle w:val="Heading1"/>
        <w:spacing w:after="120" w:before="280"/>
      </w:pPr>
      <w:r>
        <w:t xml:space="preserve">Bull Case</w:t>
      </w:r>
    </w:p>
    <w:p>
      <w:pPr>
        <w:pStyle w:val="ListParagraph"/>
        <w:numPr>
          <w:ilvl w:val="0"/>
          <w:numId w:val="1"/>
        </w:numPr>
        <w:spacing w:after="60"/>
      </w:pPr>
      <w:r>
        <w:t xml:space="preserve">Cheap valuation (~8x trailing P/E) alongside double-digit ROCE/ROE and consistently strong recent quarterly growth (revenue/PAT up double-to-triple-digit percentages in several quarters)</w:t>
      </w:r>
    </w:p>
    <w:p>
      <w:pPr>
        <w:pStyle w:val="ListParagraph"/>
        <w:numPr>
          <w:ilvl w:val="0"/>
          <w:numId w:val="1"/>
        </w:numPr>
        <w:spacing w:after="60"/>
      </w:pPr>
      <w:r>
        <w:t xml:space="preserve">Structural cost advantage building via aggressive captive-solar capacity additions (23 MW to 35+ MW and rising), directly reducing the largest input cost (power) in caustic production</w:t>
      </w:r>
    </w:p>
    <w:p>
      <w:pPr>
        <w:pStyle w:val="ListParagraph"/>
        <w:numPr>
          <w:ilvl w:val="0"/>
          <w:numId w:val="1"/>
        </w:numPr>
        <w:spacing w:after="60"/>
      </w:pPr>
      <w:r>
        <w:t xml:space="preserve">Forward integration into chloromethanes/derivatives insulates against industry-wide negative chlorine realizations that are hurting less-integrated peers (DCM Shriram, Gujarat Alkalies)</w:t>
      </w:r>
    </w:p>
    <w:p>
      <w:pPr>
        <w:pStyle w:val="ListParagraph"/>
        <w:numPr>
          <w:ilvl w:val="0"/>
          <w:numId w:val="1"/>
        </w:numPr>
        <w:spacing w:after="60"/>
      </w:pPr>
      <w:r>
        <w:t xml:space="preserve">China anti-involution capacity cuts and European shutdowns (Ineos Inovyn, Dow) are genuine, multi-year, industry-wide caustic-price tailwinds independent of company execution</w:t>
      </w:r>
    </w:p>
    <w:p>
      <w:pPr>
        <w:pStyle w:val="ListParagraph"/>
        <w:numPr>
          <w:ilvl w:val="0"/>
          <w:numId w:val="1"/>
        </w:numPr>
        <w:spacing w:after="60"/>
      </w:pPr>
      <w:r>
        <w:t xml:space="preserve">Consistent promoter buying at multiple price points (Rs 97-111/share) through 2025-26</w:t>
      </w:r>
    </w:p>
    <w:p>
      <w:pPr>
        <w:pStyle w:val="Heading1"/>
        <w:spacing w:after="120" w:before="280"/>
      </w:pPr>
      <w:r>
        <w:t xml:space="preserve">Bear Case / Key Risks</w:t>
      </w:r>
    </w:p>
    <w:p>
      <w:pPr>
        <w:pStyle w:val="ListParagraph"/>
        <w:numPr>
          <w:ilvl w:val="0"/>
          <w:numId w:val="1"/>
        </w:numPr>
        <w:spacing w:after="60"/>
      </w:pPr>
      <w:r>
        <w:t xml:space="preserve">Large new caustic capacity from Reliance and Adani (targeted live by 2027-28) is a real medium-term oversupply risk the community itself actively debates</w:t>
      </w:r>
    </w:p>
    <w:p>
      <w:pPr>
        <w:pStyle w:val="ListParagraph"/>
        <w:numPr>
          <w:ilvl w:val="0"/>
          <w:numId w:val="1"/>
        </w:numPr>
        <w:spacing w:after="60"/>
      </w:pPr>
      <w:r>
        <w:t xml:space="preserve">Persistently poor shareholder communication — no press releases after results, minimal concalls, low dividend payout despite strong profitability — a real governance/communication gap even without a disqualifying red flag</w:t>
      </w:r>
    </w:p>
    <w:p>
      <w:pPr>
        <w:pStyle w:val="ListParagraph"/>
        <w:numPr>
          <w:ilvl w:val="0"/>
          <w:numId w:val="1"/>
        </w:numPr>
        <w:spacing w:after="60"/>
      </w:pPr>
      <w:r>
        <w:t xml:space="preserve">Recurring APERC power-cost litigation creates noisy, hard-to-model quarterly write-off/write-back swings in reported profit</w:t>
      </w:r>
    </w:p>
    <w:p>
      <w:pPr>
        <w:pStyle w:val="ListParagraph"/>
        <w:numPr>
          <w:ilvl w:val="0"/>
          <w:numId w:val="1"/>
        </w:numPr>
        <w:spacing w:after="60"/>
      </w:pPr>
      <w:r>
        <w:t xml:space="preserve">Caustic soda is fundamentally a cyclical commodity chemical — the current tailwind (China cuts, Europe shutdowns) could reverse as new domestic capacity comes online</w:t>
      </w:r>
    </w:p>
    <w:p>
      <w:pPr>
        <w:pStyle w:val="Heading1"/>
        <w:spacing w:after="120" w:before="280"/>
      </w:pPr>
      <w:r>
        <w:t xml:space="preserve">Market-Cap Tier (informational — not a gate in this project)</w:t>
      </w:r>
    </w:p>
    <w:p>
      <w:pPr>
        <w:spacing w:after="120"/>
      </w:pPr>
      <w:r>
        <w:rPr>
          <w:b/>
          <w:bCs/>
        </w:rPr>
        <w:t xml:space="preserve">Small-cap (~Rs 1,138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no · moat: yes · valuation: yes  (score 3 / 4)</w:t>
      </w:r>
    </w:p>
    <w:p>
      <w:pPr>
        <w:spacing w:after="120"/>
      </w:pPr>
      <w:r>
        <w:rPr>
          <w:i/>
          <w:iCs/>
          <w:color w:val="666666"/>
          <w:sz w:val="20"/>
          <w:szCs w:val="20"/>
        </w:rPr>
        <w:t xml:space="preserve">China anti-involution capacity cuts + European shutdowns (Ineos Inovyn, Dow) are a real multi-year industry tailwind independent of execution; but large new caustic capacity from Reliance/Adani targeted live 2027-28 is a real medium-term oversupply risk — tam no; forward integration into chloromethanes/derivatives + aggressive captive-solar power-cost reduction is a genuine structural cost moat; ~8.2x trailing P/E with double-digit ROCE/ROE — valuation yes. Persistently poor shareholder communication is a separate governance gap.</w:t>
      </w:r>
    </w:p>
    <w:p>
      <w:pPr>
        <w:pStyle w:val="Heading1"/>
        <w:spacing w:after="120" w:before="280"/>
      </w:pPr>
      <w:r>
        <w:t xml:space="preserve">Verdict</w:t>
      </w:r>
    </w:p>
    <w:p>
      <w:pPr>
        <w:spacing w:after="120"/>
      </w:pPr>
      <w:r>
        <w:rPr>
          <w:b/>
          <w:bCs/>
          <w:sz w:val="24"/>
          <w:szCs w:val="24"/>
        </w:rPr>
        <w:t xml:space="preserve">Genuinely cheap, well-run chlor-alkali operator with real cost and pricing tailwinds, but this is a cyclical commodity-chemical business, not a structural 10x/100x compounder</w:t>
      </w:r>
    </w:p>
    <w:p>
      <w:pPr>
        <w:pStyle w:val="ListParagraph"/>
        <w:numPr>
          <w:ilvl w:val="0"/>
          <w:numId w:val="1"/>
        </w:numPr>
        <w:spacing w:after="60"/>
      </w:pPr>
      <w:r>
        <w:t xml:space="preserve">Strong recent execution (double-digit-to-triple-digit YoY growth in several quarters, cheap valuation, real solar-driven cost reduction) makes this a credible value/GARP idea, but caustic soda remains a cyclical commodity where large new domestic capacity (Reliance, Adani) is a known 2027-28 supply risk that caps the multi-year compounding case</w:t>
      </w:r>
    </w:p>
    <w:p>
      <w:pPr>
        <w:pStyle w:val="ListParagraph"/>
        <w:numPr>
          <w:ilvl w:val="0"/>
          <w:numId w:val="1"/>
        </w:numPr>
        <w:spacing w:after="60"/>
      </w:pPr>
      <w:r>
        <w:t xml:space="preserve">The persistent shareholder-communication gap, while not a disqualifying red flag, is exactly the kind of governance friction that has kept this cheap for years and could continue to do so regardless of operational performance</w:t>
      </w:r>
    </w:p>
    <w:p>
      <w:pPr>
        <w:pStyle w:val="ListParagraph"/>
        <w:numPr>
          <w:ilvl w:val="0"/>
          <w:numId w:val="1"/>
        </w:numPr>
        <w:spacing w:after="60"/>
      </w:pPr>
      <w:r>
        <w:t xml:space="preserve">Sits as 'neither' primarily on business-model grounds (cyclical commodity chemical) rather than execution — a reasonable value holding, not a multibagger thesis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2026-09-09T18:15:32.953Z</dcterms:created>
  <dcterms:modified xsi:type="dcterms:W3CDTF">2026-09-09T18:15:32.954Z</dcterms:modified>
</cp:coreProperties>
</file>

<file path=docProps/custom.xml><?xml version="1.0" encoding="utf-8"?>
<Properties xmlns="http://schemas.openxmlformats.org/officeDocument/2006/custom-properties" xmlns:vt="http://schemas.openxmlformats.org/officeDocument/2006/docPropsVTypes"/>
</file>