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Tainwala Chemicals &amp; Plastics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Flagship of the Tainwala Group making extruded plastic sheets (PVC/PP/PPGL/HDPE/ABS) -- debt-free but structurally weak returns, and PAT collapsed ~99% YoY in the latest quarter with no catalyst in sight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Tainwala Chemicals &amp; Plastics (India) Ltd (TCPL) manufactures extruded plastic sheets across various polymers (PVC, PP, PPGL, HDPE, ABS) for packaging and industrial end-uses. The ValuePickr thread ('10% of Samsonite South Asia available at 25 Crores') frames the historical pitch as a hidden-asset/holding-value story via a stake in Samsonite South Asia rather than the core extrusion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184-210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~4.74%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ROIC</w:t>
            </w:r>
          </w:p>
        </w:tc>
        <w:tc>
          <w:tcPr>
            <w:tcW w:type="dxa" w:w="5800"/>
          </w:tcPr>
          <w:p>
            <w:r>
              <w:t xml:space="preserve">~0.47%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 (D/E ~0%)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 PAT</w:t>
            </w:r>
          </w:p>
        </w:tc>
        <w:tc>
          <w:tcPr>
            <w:tcW w:type="dxa" w:w="5800"/>
          </w:tcPr>
          <w:p>
            <w:r>
              <w:t xml:space="preserve">Rs 0.03 Cr, down ~98.93%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TCPL is debt-free, which is the one clean positive, but core profitability is structurally weak -- ROE ~4.7% and ROIC near zero (~0.5%) over the trailing 3 years, well below any reasonable cost of capital. The most recent quarter shows PAT collapsing ~99% YoY to a token Rs 0.03 Cr. A decade-long track record is independently described as 'below average quality.' No capex, order-book, or demand-side catalyst is evident to change this trajectory.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filtered out before technicals escalation.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in depth -- filtered out at the Step 3 fundamentals/red-flag stage before the forum deep-read.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assessed this run.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assessed this run.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holding value narrative via a minority stake in Samsonite South Asia (per thread title), though not independently re-verified this run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ROIC near-zero (~0.47%) and ROE ~4.7% over 3 years -- structurally poor capital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Latest-quarter PAT down ~99% YoY -- deteriorating, not just weak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plastic-sheet extrusion with no evident pricing power or differentiation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catalyst, no live-theme match, no community/trusted conviction signal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Micro/small-cap (~Rs 200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weak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tailwind=no (no sector tailwind for commodity extruded plastic sheets). tam=weak (fragmented, price-competitive segment). moat=no (no differentiation vs peers). valuation=weak (ROIC ~0.47%, latest-quarter PAT down ~99% YoY to near-zero). Score 1.0 -&gt;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Debt-free but structurally unprofitable plastics extruder with a collapsing latest quarter and no catalyst --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against active_themes.json (commodity plastic sheet extrusion, not a matched keyword); recency/forum-discovery pass with no theme boost.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1.0 -&gt; 'neither' (hard). tailwind no (no sector tailwind for commodity extruded sheets), tam weak (fragmented, price-competitive segment), moat no (no differentiation), valuation weak (ROIC ~0.5%, latest PAT near-zero). No red flag, but both trailing and recent-quarter trend are weak with no catalyst -- filtered per Step 3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The Samsonite South Asia stake narrative (if still current and material) would be the only reason to revisit -- not independently re-verified this run.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2026-09-11T16:07:35.815Z</dcterms:created>
  <dcterms:modified xsi:type="dcterms:W3CDTF">2026-09-11T16:07:35.815Z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