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Unicommerce eSolutions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Dominant e-commerce OMS/WMS 'picks and shovels' play with a real moat, but community-flagged client churn undercuts the headline growth 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Unicommerce, founded by Kunal Bahl and Rohit Bansal, is India's dominant warehouse management (WMS) and order management system (OMS) provider for e-commerce and quick-commerce fulfillment, earning a fee per parcel/order processed.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983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21.1% / 15.6% -- solid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+75.3% YoY in Q2 FY26 (Rs 51.4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cash (net debt/equity -0.06)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Decent returns and strong headline revenue growth (+75.3% YoY), but this is inflated by the Shipway acquisition consolidated in Dec 2024 -- the high-margin core Uniware product is growing only in single digits per a community-flagged concern.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85.5 · 45.3x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~45x TTM on an e-commerce OMS/WMS SaaS implies the market needs ~30%+ EPS CAGR FY26-28 at a ~30x exit to be fair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+25-35% on order-volume growth and new logos; margin ~17-20%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durability is the question - community-flagged client churn caps the compounding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45x the market already credits sustained 30%+ growth; community-flagged client churn undercutting the headline rate is the risk our estimate reflects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entire 8-post thread (started May 2026, all posts fit in one batch).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rks00 opened the thread asking whether Unicommerce can 5x in 5 years per management's own guidance, framing a real moat argument (network effects: a new competitor needs 150+ marketplace/logistics integrations before merchants will switch, but merchants won't sign up until integrations exist). mako flagged that most of FY26 topline growth came from the Shipway acquisition, with core high-margin Uniware growing only in single digits. sivaprakashh made a sharper, specific churn observation: enterprise client count grew net 173 (953 to 1,126) in FY26, but the company reported adding 465 new clients -- implying roughly 292 clients were lost, meaning gross client additions are not translating proportionally into topline. vinay_turaidar flagged that CEO Kapil Makhija has been consistently reducing his ownership stake (1.15% to 0.52%) since May 2026 -- an insider-selling caution.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moat: two-sided integration network effects make Unicommerce difficult to displace once embedded in merchant/logistics workflows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Headline revenue growth remains strong (+75.3%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Net-cash balance sheet, no leverage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to a 5x-in-5-years outcome, which if delivered would fit the thesis directly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specific, well-reasoned community observation flags real client churn (~292 of 465 gross adds lost) undermining the headline growth narrative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high-margin Uniware product growing only in single digits -- most growth is acquisition-driven (Shipway), not organic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CEO has been steadily reducing personal stake since May 2026 -- a real insider-conviction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 is very new (8 posts) with limited independent scrutiny beyond the points above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983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E-commerce integration/enablement SaaS is a real structural niche; headline +75.3% growth is Shipway-acquisition-driven while core Uniware grows only single digits (community-flagged client churn ~292 of 465 gross adds lost) — tam weak; two-sided integration network effects are a genuine, explicit structural moat; no valuation data, CEO reducing personal stake since May-2026 is a separate insider-conviction caution.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moat business with a specific, credible churn concern and insider selling that keep this at low conviction,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moat argument is structurally sound (integration switching costs), and the small market cap leaves genuine room if management's 5x guidance is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churn math flagged by the community is specific and concrete, not vague sentiment -- it directly questions whether client additions are translating into durable 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Insider selling by the CEO since May 2026 is a real, current caution that tempers conviction further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red flag; conviction set Low given the combination of a thin, new thread and the specific churn/insider-selling concerns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2026-09-09T18:14:45.115Z</dcterms:created>
  <dcterms:modified xsi:type="dcterms:W3CDTF">2026-09-09T18:14:45.115Z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