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Unihealth Hospitals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High-growth Africa hospital platform (Uganda crown jewel) now expanding into India — real operating momentum, but P/E ~50, SME liquidity and a minority-owned India vehicle cap conviction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Unihealth Hospitals (formerly Unihealth Medical Consultancy; NSE SME: UNIHEALTH) operates hospitals and medical centres primarily in Uganda (its mature, cash-generative core), plus consultancy services, pharma exports/distribution, and now an India expansion (Navi Mumbai and Nashik hospitals) run through UMC Hospitals Pvt Ltd. Exited Nigeria in FY25. Active ValuePickr thread (55 posts) read to July 2026.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1,284 Cr (NSE SME)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~21.5% / ~24.5%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revenue ~Rs 1.32bn, +33% YoY; multi-year ~135% headline growth, ~38.6% 5-yr PAT CAGR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~12%; Ugandan unit now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 / working capital</w:t>
            </w:r>
          </w:p>
        </w:tc>
        <w:tc>
          <w:tcPr>
            <w:tcW w:type="dxa" w:w="5800"/>
          </w:tcPr>
          <w:p>
            <w:r>
              <w:t xml:space="preserve">P/E ~50, P/B high; debtor days ~341 (structural, African govt payment cycles)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134 - Rs 820 (roughly a 6x band)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Growth and returns are genuinely strong (ROCE ~24.5%, FY26 revenue +33%, Uganda growing ~25% and now debt-free) and management guides to 350-400 operational beds by FY26 and ~1,000 beds within two years. Against that: the stock has already run roughly 6x in a year to a ~50x P/E; ~341 debtor days is a real working-capital drag; the India growth vehicle (UMC Hospitals Pvt Ltd) is only ~80-82% owned by the listed company with the remainder held by non-promoters including promoters personally; and a July 2026 share-swap took Victoria Hospital (Uganda) to ~99.81% owned, adding ~Rs 25.5 Cr EBITDA / ~Rs 21.75 Cr PAT.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720 · 176x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P/E ~176 (standalone basis) prices a very steep hospital-network ramp; needs multi-year 40%+ earnings CAGR as new hospitals (India + East Africa) mature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consolidated revenue growth on new-hospital additions and occupancy ramp; margins normalising toward mid-teens 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operating leverage as beds mature; single-project execution and geographic (Africa) risk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very high headline multiple on thin, mostly standalone financials; the network-expansion thesis is unproven at scale and consolidated disclosure this pass was limited.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12%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52-week range Rs 134-820; the stock has re-rated ~6x and had an 85%-in-7-sessions burst per news, i.e. extremely extended.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55 posts (first-time read), spanning Jan 2025 to July 2026. Sentiment is constructive but genuinely two-sided: strong H1 FY26 results ('classic operating leverage'), detailed bull models toward 1,000 beds, Uganda debt-free and tax-free — versus a stretched valuation, ~341 debtor days, and a governance debate over the 80%-owned India subsidiary. One participant (drkshetty1, non-trusted) disclosed exiting into the rally, citing valuation and 'too many businesses.'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Three 'elevated'-tier roster users are active and constructive (no conviction floor applies): pranavpallod12 (multiple posts, 4-6 loves) frames the company at an inflection — Uganda moat funding India optionality, thesis 'could be very big or flat' — and says H1 FY26 'surpassed all expectations'; Satishwe (8 loves) built a detailed guidance-based model; niraj (5 loves) logged the July 2026 Victoria Hospital consolidation. Counterweights from non-trusted users: Mayank_Jham's math implies only ~35% EBITDA growth to FY28E (valuation stretched) and Agni's flag that the minority-owned India vehicle is a structural governance concern. No formal high-conviction BUY call from a very-high-tier user.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2026-07-05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2025-12-02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July 2026 share-swap raised Unihealth's stake in Victoria Hospital (Uganda) to ~99.81% (from ~50%), accretive by ~Rs 25.5 Cr EBITDA / ~Rs 21.75 Cr PAT. India expansion via UMC Hospitals Pvt Ltd, ~80-82% owned by the listed entity. Not independently re-verified beyond forum-linked disclosures.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high growth (FY26 revenue +33%) with strong returns (ROCE ~24.5%) and a mature, now debt-free, tax-advantaged Uganda core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Specific, named expansion pipeline: 350-400 beds by FY26, ~1,000 beds within two years, plus Tanzania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Victoria Hospital consolidation (July 2026) is immediately EBITDA/PAT accretive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Three 'elevated'-tier roster users actively engaged and constructive on the operating trajectory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already ~6x in a year to a ~50x P/E — a lot of good news is priced in, and one community model implies only ~35% EBITDA growth to FY28E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NSE-SME listing: structurally thin liquidity for the market cap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~341 debtor days is a real working-capital drag even if partly structural to African government payment cycles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 growth vehicle only ~80-82% owned by the listed company, with promoters holding a personal minority stake — a governance structure the community itself flags as a red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Single-country revenue concentration (Uganda) and hard-to-verify African operations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Smallcap / SME-platform (~Rs 1,284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1,000-bed expansion plan on debt-free Uganda-funded base is real, sizeable headroom (tailwind/tam=yes); ~50x P/E after a ~6x run (valuation=no).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operating momentum and a credible bed-expansion pipeline keep a 10x case alive, but valuation, SME liquidity and the India-vehicle structure hold conviction to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+33%, ROCE ~24.5%, a debt-free Uganda core funding India optionality, and an accretive Victoria consolidation support a 10x-in-2-3-years framing on execution of the 1,000-bed plan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is Low: a ~50x P/E after a ~6x run, NSE-SME liquidity, ~341 debtor days, and a minority-owned India subsidiary are unresolved risks — and the roster support, while genuine, is 'elevated' tier with no formal BUY 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Old 108-stock project rated this Tier B; re-derived under the open-screen thesis it stays a 10x candidate but explicitly valuation-gated and unconfirmed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2026-09-09T18:15:33.740Z</dcterms:created>
  <dcterms:modified xsi:type="dcterms:W3CDTF">2026-09-09T18:15:33.740Z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