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Vintage Coffee &amp; Beverages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coffee processor/exporter riding a capacity-expansion wave, clouded by a stack of governance red flags including a fresh Aug-2026 fund-utilization deviation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A trusted community member flagged a disclosed-after-the-fact deviation in preferential-issue fund utilization (stated purpose vs. actual use) as recently as 2026-08-19, on top of a pre-existing pattern of heavy equity dilution, a compliance officer resignation, and an unresolved accounting-classification concern that implies true operating cash flow may be negative. No single item is disqualifying, but the cluster and recency together warrant elevated caution rather than a clean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Vintage Coffee manufactures and exports spray-dried, agglomerated, and (soon) freeze-dried instant coffee, aggressively expanding capacity (6,500 to 11,000+ MTPA across FY25-27) funded largely by equity issuance, with a growing consumer-pack/domestic mix alongside its bulk export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29.9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120 - 180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Days reduced from 192 to 147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and accelerating operating performance — Q1FY27 revenue +58% YoY, EBITDA +75% YoY on top of a Q3FY26 quarter that saw revenue +71%/EBITDA +79% YoY — driven by capacity coming online and a shift toward higher-margin consumer packs. Cash flow from operations turned positive in Q3FY26.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76 posts (2025-07 to 2026-08), single batch. Sentiment tracks two parallel threads: (1) a genuinely strong operating story — capacity ramp, volume growth cross-checked independently against Coffee Board export-permit data by one detailed poster (anupammahor), consistently beating quarter guidance; and (2) a persistent, escalating governance concern — heavy equity dilution via repeated preferential allotments, a compliance officer resignation, missing historical annual-report filings, an accounting classification flagged as a red flag (short-term borrowings booked inside operating cash flow, masking a likely negative true CFO), and — in the very last post read (2026-08-26, from a trusted user) — a fresh, disclosed-after-the-fact deviation where ~Rs 12 Cr raised for 'plant and machinery upgrades' was instead used to buy land without prior shareholder approval.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posters (thevalueinvestor, akash_das, ValueVision) flagged frequent equity dilution and promoter-share pledging as early as Oct 2025; Vishal11 (not trusted, but substantive) identified a specific accounting red flag in Jun 2026 — short-term borrowings classified inside CFO, implying true operating cash flow was negative ~Rs 20 Cr in FY26 rather than positive.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2025-11-06 — Midhunjoe</w:t>
      </w:r>
      <w:r>
        <w:rPr>
          <w:i/>
          <w:iCs/>
          <w:color w:val="666666"/>
          <w:sz w:val="18"/>
          <w:szCs w:val="18"/>
        </w:rPr>
        <w:t xml:space="preserve"> (Midhun's Investment journey (own thread, elevated tier))</w:t>
      </w:r>
      <w:r>
        <w:rPr>
          <w:sz w:val="20"/>
          <w:szCs w:val="20"/>
        </w:rPr>
        <w:br/>
        <w:t xml:space="preserve">: post #64: capacity-expansion thesis (4500-&gt;6500-&gt;+4500 MT), consistent YoY growth, reasonable forward valuation; #66 tracks the concall (additional 4500 MT facility online by Mar 2026, contributing Q1 FY27). Not in his Sep-2026 sold list. recency_weight 0.25 at scoring time. elevated-tier -&gt; no floor.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2026-08-26 — Jadewade</w:t>
      </w:r>
      <w:r>
        <w:rPr>
          <w:i/>
          <w:iCs/>
          <w:color w:val="666666"/>
          <w:sz w:val="18"/>
          <w:szCs w:val="18"/>
        </w:rPr>
        <w:t xml:space="preserve"> (Vintage Coffee)</w:t>
      </w:r>
      <w:r>
        <w:rPr>
          <w:sz w:val="20"/>
          <w:szCs w:val="20"/>
        </w:rPr>
        <w:br/>
        <w:t xml:space="preserve">: Flagged a disclosed-after-the-fact Rs 12 Cr deviation in preferential-issue fund utilization (raised for 'plant and machinery upgrades,' instead spent on land purchase without prior shareholder approval), explicitly comparing the pattern to Sigachi's warrant-dilution capital-allocation issue that made him cautious there.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History of frequent preferential allotments/QIPs funding capex; compliance officer resignation (Oct 2025) around the time of a warrant issue at Rs 124/share; company's BSE filings reportedly show only the current year's annual report despite being listed since 2019 (flagged by thevalueinvestor, unverified independently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and EBITDA growth are genuinely strong and accelerating across multiple quarters (58-79% YoY ranges),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is scaling aggressively (6,500 → 11,000+ MTPA by FY26-27) with independent cross-checks (Coffee Board export-permit data) broadly corroborating management's volume claims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Q3FY26 and product mix is shifting toward higher-margin consumer packs (target 65-70% vs. current ~50%)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(Aug 2026) governance red flag: a trusted user found a fund-utilization deviation — money raised for stated capex was redirected to a land purchase without prior shareholder approval, an explicit disclosed-after-the-fact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 accounting-classification concern (short-term borrowings booked inside operating cash flow) implies true FY26 operating cash flow may have been negative, not positive as headline figures suggest — unresolved as of the last post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Heavy, repeated equity dilution to fund growth, a compliance officer resignation, and incomplete historical BSE filings for a company listed since 2019 — a cluster of governance concerns, not a single isolated incident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Key-man risk flagged directly (CEO Balakrishna Tati draws &gt;Rs 1 Cr salary vs. CFO's ~Rs 35 LPA, with no obvious succession bench)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2,354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accelerating growth story undercut by a genuine and escalating stack of governance red flags, including one from just days ago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momentum (58-79% YoY revenue/EBITDA growth, capacity scaling, improving working capital) is specific and real enough to support a 10x-in-2-3-years thesis fit on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the accumulation of governance concerns — accounting-classification questions, a disclosed-after-the-fact fund-utilization deviation flagged by a trusted user as recently as this week, heavy dilution, and a compliance-officer resignation — is exactly the pattern the project treats as a HIGH CAUTION tier even without a single disqualifying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should stay capped at Low-Medium until the fund-utilization deviation and the CFO-classification question get a clean explanation from management, ideally on the next concall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2026-09-10T15:47:14.481Z</dcterms:created>
  <dcterms:modified xsi:type="dcterms:W3CDTF">2026-09-10T15:47:14.481Z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