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Antelopus Selan Energy Ltd (formerly Selan Exploration Technology Ltd)</w:t>
      </w:r>
    </w:p>
    <w:p>
      <w:pPr>
        <w:pBdr>
          <w:bottom w:val="single" w:color="CCCCCC" w:sz="6" w:space="8"/>
        </w:pBdr>
        <w:spacing w:after="200"/>
      </w:pPr>
      <w:r>
        <w:rPr>
          <w:i/>
          <w:iCs/>
          <w:color w:val="666666"/>
          <w:sz w:val="22"/>
          <w:szCs w:val="22"/>
        </w:rPr>
        <w:t xml:space="preserve">Small, debt-free oil &amp; gas E&amp;P (legacy Bakrol/Lohar/Karjisan Gujarat fields) posting strong 54% revenue growth, now under a new controlling promoter (Blackbuck Energy/Antelopus, ~69.9% stake via an NCLT-approved scheme) - real numbers, but too early to underwrite a specific growth thesis under the new ownership.</w:t>
      </w:r>
    </w:p>
    <w:p>
      <w:pPr>
        <w:pStyle w:val="Heading1"/>
        <w:spacing w:after="120" w:before="280"/>
      </w:pPr>
      <w:r>
        <w:t xml:space="preserve">Business Overview</w:t>
      </w:r>
    </w:p>
    <w:p>
      <w:pPr>
        <w:spacing w:after="120"/>
      </w:pPr>
      <w:r>
        <w:t xml:space="preserve">Originally Selan Exploration Technology Ltd, one of the first private companies to secure development rights for the Bakrol, Lohar and Karjisan discovered oilfields in Gujarat (1985 legacy). Renamed to Antelopus Selan Energy Ltd in August 2025 after Antelopus Energy Private Limited (founded 2018, an oil &amp; gas-focused platform) acquired control via a Composite Scheme of Arrangement approved by the NCLT, with promoter entity Blackbuck Energy Investments Limited allotted shares taking its stake to ~69.93%. Seeded via untrusted X triage (@rdkriplani, bullish view, medium conviction, 2026-09-13).</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3,719 Cr</w:t>
            </w:r>
          </w:p>
        </w:tc>
      </w:tr>
      <w:tr>
        <w:tc>
          <w:tcPr>
            <w:tcW w:type="dxa" w:w="3200"/>
            <w:shd w:fill="F2F2F2" w:val="clear"/>
          </w:tcPr>
          <w:p>
            <w:r>
              <w:rPr>
                <w:b/>
                <w:bCs/>
              </w:rPr>
              <w:t xml:space="preserve">ROE / ROCE</w:t>
            </w:r>
          </w:p>
        </w:tc>
        <w:tc>
          <w:tcPr>
            <w:tcW w:type="dxa" w:w="5800"/>
          </w:tcPr>
          <w:p>
            <w:r>
              <w:t xml:space="preserve">ROE ~13.4% (3-yr avg); ROCE ~11.6%</w:t>
            </w:r>
          </w:p>
        </w:tc>
      </w:tr>
      <w:tr>
        <w:tc>
          <w:tcPr>
            <w:tcW w:type="dxa" w:w="3200"/>
            <w:shd w:fill="F2F2F2" w:val="clear"/>
          </w:tcPr>
          <w:p>
            <w:r>
              <w:rPr>
                <w:b/>
                <w:bCs/>
              </w:rPr>
              <w:t xml:space="preserve">Revenue growth</w:t>
            </w:r>
          </w:p>
        </w:tc>
        <w:tc>
          <w:tcPr>
            <w:tcW w:type="dxa" w:w="5800"/>
          </w:tcPr>
          <w:p>
            <w:r>
              <w:t xml:space="preserve">Outstanding annual revenue growth of ~54%</w:t>
            </w:r>
          </w:p>
        </w:tc>
      </w:tr>
      <w:tr>
        <w:tc>
          <w:tcPr>
            <w:tcW w:type="dxa" w:w="3200"/>
            <w:shd w:fill="F2F2F2" w:val="clear"/>
          </w:tcPr>
          <w:p>
            <w:r>
              <w:rPr>
                <w:b/>
                <w:bCs/>
              </w:rPr>
              <w:t xml:space="preserve">Debt</w:t>
            </w:r>
          </w:p>
        </w:tc>
        <w:tc>
          <w:tcPr>
            <w:tcW w:type="dxa" w:w="5800"/>
          </w:tcPr>
          <w:p>
            <w:r>
              <w:t xml:space="preserve">Almost debt-free</w:t>
            </w:r>
          </w:p>
        </w:tc>
      </w:tr>
      <w:tr>
        <w:tc>
          <w:tcPr>
            <w:tcW w:type="dxa" w:w="3200"/>
            <w:shd w:fill="F2F2F2" w:val="clear"/>
          </w:tcPr>
          <w:p>
            <w:r>
              <w:rPr>
                <w:b/>
                <w:bCs/>
              </w:rPr>
              <w:t xml:space="preserve">52-week range</w:t>
            </w:r>
          </w:p>
        </w:tc>
        <w:tc>
          <w:tcPr>
            <w:tcW w:type="dxa" w:w="5800"/>
          </w:tcPr>
          <w:p>
            <w:r>
              <w:t xml:space="preserve">~Rs 474.6 - Rs 1,079.4 (current ~Rs 577, well off the high)</w:t>
            </w:r>
          </w:p>
        </w:tc>
      </w:tr>
      <w:tr>
        <w:tc>
          <w:tcPr>
            <w:tcW w:type="dxa" w:w="3200"/>
            <w:shd w:fill="F2F2F2" w:val="clear"/>
          </w:tcPr>
          <w:p>
            <w:r>
              <w:rPr>
                <w:b/>
                <w:bCs/>
              </w:rPr>
              <w:t xml:space="preserve">Ownership</w:t>
            </w:r>
          </w:p>
        </w:tc>
        <w:tc>
          <w:tcPr>
            <w:tcW w:type="dxa" w:w="5800"/>
          </w:tcPr>
          <w:p>
            <w:r>
              <w:t xml:space="preserve">New promoter Blackbuck Energy Investments Ltd holds ~69.93% post NCLT-approved scheme (Aug 2025 rename, control change effective Jul 2025)</w:t>
            </w:r>
          </w:p>
        </w:tc>
      </w:tr>
    </w:tbl>
    <w:p>
      <w:pPr>
        <w:spacing w:after="100"/>
      </w:pPr>
    </w:p>
    <w:p>
      <w:pPr>
        <w:spacing w:after="120"/>
      </w:pPr>
      <w:r>
        <w:t xml:space="preserve">The underlying legacy business (small, debt-free, producing Gujarat oilfields) shows genuinely strong recent revenue growth (~54%) and respectable capital efficiency (ROCE ~11.6%, ROE ~13.4%), and the stock has corrected sharply from its 52-week high (~Rs 1,079 to ~Rs 577), improving the entry math versus a year ago. However, this is now effectively a different controlled entity: Antelopus Energy Private Limited took control via an NCLT-approved Composite Scheme of Arrangement (completed July 2025, name changed August 2025), with promoter stake raised to ~69.93% - a legitimate, disclosed transaction, not a red-flag promoter-collapse event, but it does mean the pre-existing legacy financial trend may not predict the new promoter's forward strategy for the asset base. No specific new growth plan, capex program, or production-ramp target under the new ownership was found this pass.</w:t>
      </w:r>
    </w:p>
    <w:p>
      <w:pPr>
        <w:pStyle w:val="Heading1"/>
        <w:spacing w:after="120" w:before="280"/>
      </w:pPr>
      <w:r>
        <w:t xml:space="preserve">Technical Read (Weekly / Monthly MACD + Bollinger Bands, or RSI/CCI/Williams %R proxy)</w:t>
      </w:r>
    </w:p>
    <w:p>
      <w:pPr>
        <w:spacing w:after="120"/>
      </w:pPr>
      <w:r>
        <w:t xml:space="preserve">Down sharply (~-46%) from the 52-week high of ~Rs 1,079 to ~Rs 577 - not independently verified against a moving-average filter this pass.</w:t>
      </w:r>
    </w:p>
    <w:p>
      <w:pPr>
        <w:pStyle w:val="Heading1"/>
        <w:spacing w:after="120" w:before="280"/>
      </w:pPr>
      <w:r>
        <w:t xml:space="preserve">ValuePickr Community Signal</w:t>
      </w:r>
    </w:p>
    <w:p>
      <w:pPr>
        <w:spacing w:after="120"/>
      </w:pPr>
      <w:r>
        <w:t xml:space="preserve">Not pulled - four_box score (2.5) falls in the 'defaults neither' band and no explicit exception is written, so no forum deep-dive performed per rules.</w:t>
      </w:r>
    </w:p>
    <w:p>
      <w:pPr>
        <w:spacing w:after="120"/>
      </w:pPr>
      <w:r>
        <w:rPr>
          <w:b/>
          <w:bCs/>
          <w:sz w:val="20"/>
          <w:szCs w:val="20"/>
        </w:rPr>
        <w:t xml:space="preserve">High-conviction call from a top contributor: </w:t>
      </w:r>
      <w:r>
        <w:rPr>
          <w:sz w:val="20"/>
          <w:szCs w:val="20"/>
        </w:rPr>
        <w:t xml:space="preserve">None sought this pass.</w:t>
      </w:r>
    </w:p>
    <w:p>
      <w:pPr>
        <w:pStyle w:val="Heading1"/>
        <w:spacing w:after="120" w:before="280"/>
      </w:pPr>
      <w:r>
        <w:t xml:space="preserve">BSE Corporate Actions / Other Red Flags</w:t>
      </w:r>
    </w:p>
    <w:p>
      <w:pPr>
        <w:spacing w:after="120"/>
      </w:pPr>
      <w:r>
        <w:t xml:space="preserve">No AVOID/EXCLUDE/HIGH CAUTION red flag found: the promoter change is a disclosed, NCLT-approved Composite Scheme of Arrangement that INCREASED promoter stake (to ~69.93%), not a collapse; no auditor resignation or fraud/SEBI action surfaced. Flagged as a material ownership-transition event to watch, not a red flag.</w:t>
      </w:r>
    </w:p>
    <w:p>
      <w:pPr>
        <w:pStyle w:val="Heading1"/>
        <w:spacing w:after="120" w:before="280"/>
      </w:pPr>
      <w:r>
        <w:t xml:space="preserve">Bull Case</w:t>
      </w:r>
    </w:p>
    <w:p>
      <w:pPr>
        <w:pStyle w:val="ListParagraph"/>
        <w:numPr>
          <w:ilvl w:val="0"/>
          <w:numId w:val="1"/>
        </w:numPr>
        <w:spacing w:after="60"/>
      </w:pPr>
      <w:r>
        <w:t xml:space="preserve">Debt-free legacy E&amp;P asset base with strong recent revenue growth (~54%) and decent capital efficiency (ROCE ~11.6%, ROE ~13.4%)</w:t>
      </w:r>
    </w:p>
    <w:p>
      <w:pPr>
        <w:pStyle w:val="ListParagraph"/>
        <w:numPr>
          <w:ilvl w:val="0"/>
          <w:numId w:val="1"/>
        </w:numPr>
        <w:spacing w:after="60"/>
      </w:pPr>
      <w:r>
        <w:t xml:space="preserve">New promoter (Antelopus Energy, oil &amp; gas-focused platform founded 2018) increased its stake to ~69.93% via a disclosed, NCLT-approved scheme - could bring fresh capital/strategy</w:t>
      </w:r>
    </w:p>
    <w:p>
      <w:pPr>
        <w:pStyle w:val="ListParagraph"/>
        <w:numPr>
          <w:ilvl w:val="0"/>
          <w:numId w:val="1"/>
        </w:numPr>
        <w:spacing w:after="60"/>
      </w:pPr>
      <w:r>
        <w:t xml:space="preserve">Stock down ~46% from its 52-week high, improving the entry point versus a year ago</w:t>
      </w:r>
    </w:p>
    <w:p>
      <w:pPr>
        <w:pStyle w:val="Heading1"/>
        <w:spacing w:after="120" w:before="280"/>
      </w:pPr>
      <w:r>
        <w:t xml:space="preserve">Bear Case / Key Risks</w:t>
      </w:r>
    </w:p>
    <w:p>
      <w:pPr>
        <w:pStyle w:val="ListParagraph"/>
        <w:numPr>
          <w:ilvl w:val="0"/>
          <w:numId w:val="1"/>
        </w:numPr>
        <w:spacing w:after="60"/>
      </w:pPr>
      <w:r>
        <w:t xml:space="preserve">Recent change of control (new name, new ~69.9% promoter as of mid-2025) means the historical financial trend may not reflect the new owner's forward strategy - no specific new plan found this pass</w:t>
      </w:r>
    </w:p>
    <w:p>
      <w:pPr>
        <w:pStyle w:val="ListParagraph"/>
        <w:numPr>
          <w:ilvl w:val="0"/>
          <w:numId w:val="1"/>
        </w:numPr>
        <w:spacing w:after="60"/>
      </w:pPr>
      <w:r>
        <w:t xml:space="preserve">Small, single-region legacy oilfield base (Bakrol/Lohar/Karjisan, Gujarat) with no evidenced structural moat beyond existing development rights</w:t>
      </w:r>
    </w:p>
    <w:p>
      <w:pPr>
        <w:pStyle w:val="ListParagraph"/>
        <w:numPr>
          <w:ilvl w:val="0"/>
          <w:numId w:val="1"/>
        </w:numPr>
        <w:spacing w:after="60"/>
      </w:pPr>
      <w:r>
        <w:t xml:space="preserve">four_box score (2.5) sits in the band that defaults to 'neither' absent an explicit growth-math exception, which this pass does not have enough forward-looking detail to write</w:t>
      </w:r>
    </w:p>
    <w:p>
      <w:pPr>
        <w:pStyle w:val="Heading1"/>
        <w:spacing w:after="120" w:before="280"/>
      </w:pPr>
      <w:r>
        <w:t xml:space="preserve">Market-Cap Tier (informational — not a gate in this project)</w:t>
      </w:r>
    </w:p>
    <w:p>
      <w:pPr>
        <w:spacing w:after="120"/>
      </w:pPr>
      <w:r>
        <w:rPr>
          <w:b/>
          <w:bCs/>
        </w:rPr>
        <w:t xml:space="preserve">Small-cap (~Rs 3,719 Cr)</w:t>
      </w:r>
    </w:p>
    <w:p>
      <w:pPr>
        <w:pStyle w:val="Heading1"/>
        <w:spacing w:after="120" w:before="280"/>
      </w:pPr>
      <w:r>
        <w:t xml:space="preserve">Thesis Fit</w:t>
      </w:r>
    </w:p>
    <w:p>
      <w:pPr>
        <w:spacing w:after="120"/>
      </w:pPr>
      <w:r>
        <w:rPr>
          <w:b/>
          <w:bCs/>
          <w:sz w:val="24"/>
          <w:szCs w:val="24"/>
        </w:rPr>
        <w:t xml:space="preserve">neither</w:t>
      </w:r>
    </w:p>
    <w:p>
      <w:pPr>
        <w:spacing w:after="120"/>
      </w:pPr>
      <w:r>
        <w:rPr>
          <w:color w:val="666666"/>
          <w:sz w:val="20"/>
          <w:szCs w:val="20"/>
        </w:rPr>
        <w:t xml:space="preserve">4-box gate — tailwind: yes · TAM: weak · moat: weak · valuation: weak  (score 2.5 / 4)</w:t>
      </w:r>
    </w:p>
    <w:p>
      <w:pPr>
        <w:spacing w:after="120"/>
      </w:pPr>
      <w:r>
        <w:rPr>
          <w:i/>
          <w:iCs/>
          <w:color w:val="666666"/>
          <w:sz w:val="20"/>
          <w:szCs w:val="20"/>
        </w:rPr>
        <w:t xml:space="preserve">Strong recent revenue growth (~54%) and a debt-free balance sheet support tailwind; small single-region legacy field base and an unconfirmed new-promoter strategy keep tam/moat at weak; stock is well off its 52-week high but no P/E was confirmed this pass, so valuation is scored weak rather than yes.</w:t>
      </w:r>
    </w:p>
    <w:p>
      <w:pPr>
        <w:pStyle w:val="Heading1"/>
        <w:spacing w:after="120" w:before="280"/>
      </w:pPr>
      <w:r>
        <w:t xml:space="preserve">Verdict</w:t>
      </w:r>
    </w:p>
    <w:p>
      <w:pPr>
        <w:spacing w:after="120"/>
      </w:pPr>
      <w:r>
        <w:rPr>
          <w:b/>
          <w:bCs/>
          <w:sz w:val="24"/>
          <w:szCs w:val="24"/>
        </w:rPr>
        <w:t xml:space="preserve">Debt-free, fast-growing legacy Gujarat oil &amp; gas producer now under a new controlling promoter (Antelopus/Blackbuck, ~69.9% stake, NCLT scheme completed 2025) - real numbers, but a recent ownership transition without a disclosed new growth plan keeps this at 'neither' this pass.</w:t>
      </w:r>
    </w:p>
    <w:p>
      <w:pPr>
        <w:pStyle w:val="ListParagraph"/>
        <w:numPr>
          <w:ilvl w:val="0"/>
          <w:numId w:val="1"/>
        </w:numPr>
        <w:spacing w:after="60"/>
      </w:pPr>
      <w:r>
        <w:t xml:space="preserve">four_box = 2.5 (tailwind yes - strong 54% revenue growth and debt-free E&amp;P economics; tam weak - small, single-region legacy field base with no confirmed new-promoter expansion plan; moat weak - existing development rights but no distinctive scale/technology edge; valuation weak - stock well off highs but no P/E confirmed this pass)</w:t>
      </w:r>
    </w:p>
    <w:p>
      <w:pPr>
        <w:pStyle w:val="ListParagraph"/>
        <w:numPr>
          <w:ilvl w:val="0"/>
          <w:numId w:val="1"/>
        </w:numPr>
        <w:spacing w:after="60"/>
      </w:pPr>
      <w:r>
        <w:t xml:space="preserve">Score in the 2.0-2.5 band defaults to 'neither' per rules; no explicit exception written given the entity is mid-transition (new promoter, name change) without a confirmed forward strategy</w:t>
      </w:r>
    </w:p>
    <w:p>
      <w:pPr>
        <w:pStyle w:val="ListParagraph"/>
        <w:numPr>
          <w:ilvl w:val="0"/>
          <w:numId w:val="1"/>
        </w:numPr>
        <w:spacing w:after="60"/>
      </w:pPr>
      <w:r>
        <w:t xml:space="preserve">Not a red flag: the ~69.93% promoter stake via the NCLT-approved Composite Scheme of Arrangement is a disclosed, legitimate increase in promoter commitment, not a collapse or fraud event - explicitly checked against the AVOID/EXCLUDE/HIGH CAUTION criteria and does not qualify</w:t>
      </w:r>
    </w:p>
    <w:p>
      <w:pPr>
        <w:pStyle w:val="ListParagraph"/>
        <w:numPr>
          <w:ilvl w:val="0"/>
          <w:numId w:val="1"/>
        </w:numPr>
        <w:spacing w:after="60"/>
      </w:pPr>
      <w:r>
        <w:t xml:space="preserve">Conviction Low-Medium: genuine underlying fundamentals (growth, debt-free) offset by transition uncertainty under the new promoter</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2026-09-16T02:48:59.542Z</dcterms:created>
  <dcterms:modified xsi:type="dcterms:W3CDTF">2026-09-16T02:48:59.543Z</dcterms:modified>
</cp:coreProperties>
</file>

<file path=docProps/custom.xml><?xml version="1.0" encoding="utf-8"?>
<Properties xmlns="http://schemas.openxmlformats.org/officeDocument/2006/custom-properties" xmlns:vt="http://schemas.openxmlformats.org/officeDocument/2006/docPropsVTypes"/>
</file>