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Bajaj Housing Finance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Large-cap housing financier - modest ROE (~11.4%) for a leveraged HFC trading at a rich ~3.1x book, down ~25% over one year; no named structural inflection found, so the large-cap default (no thesis fit, fast write-up only) applies, and the numbers do not contradict the bearish X view.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Bajaj Housing Finance Ltd (NSE/BSE: BAJAJHFL) is a housing finance company under the Bajaj Finserv group, offering home loans and related lending products. Entity is unambiguous (well-known large-cap NBFC/HFC, name matches state.json exactly).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70,083 Cr (down ~24.9%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11,604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72.65 - Rs 117.00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11.41%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4.60 (typical leveraged HFC balance sheet)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Price/Book</w:t>
            </w:r>
          </w:p>
        </w:tc>
        <w:tc>
          <w:tcPr>
            <w:tcW w:type="dxa" w:w="5800"/>
          </w:tcPr>
          <w:p>
            <w:r>
              <w:t xml:space="preserve">3.11x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86.7%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ROE of ~11.4% is modest for a housing financier, especially set against a rich ~3.1x price-to-book multiple - the valuation still prices in growth/quality that the current return profile does not fully substantiate. The stock is down ~25% over the past year, and no dividend is paid despite repeated profits. No specific named inflection (new CEO turnaround, regulatory/structural shift, capital-allocation regime change) was identified this pass.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Down ~25% over one year, trading in the Rs 72.65-117.00 range; not pulled in further detail given the fast-lane large-cap treatment.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deep-dive performed per the large-cap-no-inflection rule.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 - large-cap fast lane.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identified.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Bajaj Group parentage and scale; high promoter holding (86.7%)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(~11.4%) is modest for the ~3.1x book multiple the stock still commands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leverage typical of an HFC (D/E 4.60) - inherent balance-sheet risk in any credit-cycle downturn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named structural inflection found this pass - large-cap default applies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Untrusted X source (@PRATIKBULANI555) flagged a bearish, medium-conviction view; the ~25% one-year decline and rich P/B-vs-ROE mismatch are consistent with that view rather than contradicting it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70,083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weak · valuation: no  (score 0.5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Large-cap default: tam set to 'no' because no specific named management/structural inflection was found this pass; tailwind weak (housing-finance credit growth is a generic, not distinctive, tailwind); moat weak (Bajaj Group brand/distribution helps but ROE does not show a clear underwriting edge); valuation no given ~3.1x book against ~11.4% ROE.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Entity is the well-known Bajaj Housing Finance Ltd. Modest ROE (~11.4%) against a rich ~3.1x book multiple, no named inflection found - large-cap default applies: thesis_fit 'neither', Low conviction, no forum deep-dive.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(Bajaj Housing Finance is explicitly named in the batch instructions as large/mega-cap) - default tam:no applied since no specific named inflection was found.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'neither' per the large-cap-no-inflection rule; conviction Low given the ROE-vs-valuation mismatch and one-year price decline, which corroborate rather than contradict the bearish X seed view; no forum deep-dive performed.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2026-09-13T06:25:22.482Z</dcterms:created>
  <dcterms:modified xsi:type="dcterms:W3CDTF">2026-09-13T06:25:22.483Z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