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Bandhan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private bank (~Rs 28,440 Cr) trading near its 52-week low with weak recent revenue growth (+1.2% YoY) and a microfinance-heavy legacy book - no specific named inflection found; a large-cap fast-pass.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Bandhan Bank Ltd (NSE: BANDHANBNK) is a private-sector bank originally built on a microfinance-institution (MFI) lending base, now diversifying into retail/MSME/wholesale banking, concentrated in Eastern India. Seeded via untrusted X triage (@SanaSecurities, 2026-09-13). Large-cap (~Rs 28,440 Cr) - fast triage per protocol.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28,440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134.25 - Rs 220.76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11.6% over past 5 years; recent net revenue +1.2% YoY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Business mix</w:t>
            </w:r>
          </w:p>
        </w:tc>
        <w:tc>
          <w:tcPr>
            <w:tcW w:type="dxa" w:w="5800"/>
          </w:tcPr>
          <w:p>
            <w:r>
              <w:t xml:space="preserve">Microfinance-heavy legacy book, diversifying into retail/MSME/wholesale banking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Geography</w:t>
            </w:r>
          </w:p>
        </w:tc>
        <w:tc>
          <w:tcPr>
            <w:tcW w:type="dxa" w:w="5800"/>
          </w:tcPr>
          <w:p>
            <w:r>
              <w:t xml:space="preserve">Concentrated in Eastern India (West Bengal/Assam)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Bandhan Bank's headline metrics are soft: 5-year revenue CAGR of just 11.6%, and the most recent quarter showed net revenue growth of only 1.2% YoY - a marked deceleration. The stock trades well below its 52-week high (Rs 220.76), nearer its low (Rs 134.25), consistent with the market pricing in asset-quality and growth concerns tied to its microfinance-heavy legacy book, which has historically been more cyclical (moratoriums, MFI-sector stress episodes) than a diversified private-bank franchise. No specific named management initiative, new segment, or structural inflection was found this pass to offset the large-cap default.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lower half of its ~Rs 134-221 52-week range - not pulled in further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protocol; no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specific red flags surfaced this pass beyond generally weak recent growth; not independently checked for asset-quality/NPA disclosures in detail.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52-week lows - potential value if growth/asset-quality concerns prove overdone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underway from a pure-MFI base toward retail/MSME/wholesale banking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 banking license moat (regulatory barrier to entry) applies generically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recent growth (+1.2% YoY net revenue) and poor 5-year revenue CAGR (11.6%)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Microfinance-heavy legacy book carries structurally higher cyclical/asset-quality risk than diversified private banks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Geographic concentration in Eastern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found - large-cap bank without a fresh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28,440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 - no specific named inflection found; microfinance-heavy legacy book and weak recent revenue growth (+1.2% YoY) weigh on tailwind/moat/valuation.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private bank with a microfinance-heavy legacy book, weak recent growth, and no specific named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28,440 Cr): per protocol, tam defaults 'no' absent a specific named management/structural inflection - none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weak (sector credit growth continues but MFI-book headwinds persist), tam no, moat weak (banking license moat exists generically but franchise is less differentiated than diversified private banks), valuation weak (near 52-week lows but no confirmed value catalyst) -&gt; score 1.5.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Low given weak recent growth and no offsetting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protocol.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2026-09-16T02:43:25.941Z</dcterms:created>
  <dcterms:modified xsi:type="dcterms:W3CDTF">2026-09-16T02:43:25.942Z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