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Embassy Office Parks REIT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office REIT with strong FY26 operating momentum (94% occupancy, NOI +15%, DPU +10%, NAV +16% YoY) - a solid income/total-return vehicle, but structurally not a 10x/100x equity-style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Embassy Office Parks REIT (NSE: EMBASSY) owns and operates a large portfolio of Grade-A office parks (~43.5 msf operational portfolio) across Bengaluru, Pune, Mumbai, NCR and Chennai, distributing the bulk of net distributable cash flow to unitholders. Seeded via untrusted X triage (@rdkriplani, bullish view, medium conviction, 2026-09-13). Distinct entity from Embassy Developments Ltd (a separate listed real-estate developer, data/embassy-developments.json) - confirmed via name and business-model differences (REIT vs. developer).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Occupancy</w:t>
            </w:r>
          </w:p>
        </w:tc>
        <w:tc>
          <w:tcPr>
            <w:tcW w:type="dxa" w:w="5800"/>
          </w:tcPr>
          <w:p>
            <w:r>
              <w:t xml:space="preserve">94% by value (FY2026), up from prior year, on 6.4 msf leased at 17% higher spreads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NOI growth</w:t>
            </w:r>
          </w:p>
        </w:tc>
        <w:tc>
          <w:tcPr>
            <w:tcW w:type="dxa" w:w="5800"/>
          </w:tcPr>
          <w:p>
            <w:r>
              <w:t xml:space="preserve">+15% YoY (FY2026)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DPU growth</w:t>
            </w:r>
          </w:p>
        </w:tc>
        <w:tc>
          <w:tcPr>
            <w:tcW w:type="dxa" w:w="5800"/>
          </w:tcPr>
          <w:p>
            <w:r>
              <w:t xml:space="preserve">+10% YoY; FY2026 cumulative distribution Rs 25.28/unit (~Rs 2,396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Distribution yield</w:t>
            </w:r>
          </w:p>
        </w:tc>
        <w:tc>
          <w:tcPr>
            <w:tcW w:type="dxa" w:w="5800"/>
          </w:tcPr>
          <w:p>
            <w:r>
              <w:t xml:space="preserve">~6.6% (on IPO price of Rs 300)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NAV growth</w:t>
            </w:r>
          </w:p>
        </w:tc>
        <w:tc>
          <w:tcPr>
            <w:tcW w:type="dxa" w:w="5800"/>
          </w:tcPr>
          <w:p>
            <w:r>
              <w:t xml:space="preserve">+16%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Portfolio</w:t>
            </w:r>
          </w:p>
        </w:tc>
        <w:tc>
          <w:tcPr>
            <w:tcW w:type="dxa" w:w="5800"/>
          </w:tcPr>
          <w:p>
            <w:r>
              <w:t xml:space="preserve">~43.5 msf operational, record 3.3 msf delivered in FY2026; guiding to double-digit NOI/DPU growth again in FY2027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Embassy REIT posted a genuinely strong FY2026: occupancy climbed to 94% with positive leasing spreads (+17%), NOI grew 15% and DPU grew 10% YoY to a record Rs 25.28/unit for the year, while NAV rose 16%. Management has guided to double-digit NOI/DPU growth again in FY2027 - a real, named forward guide, but it is routine portfolio-level leasing and rent-reversion momentum rather than a one-off structural inflection (new asset class entry, major M&amp;A, regulatory unlock, etc.). As a REIT, ~90% of distributable cash flow is paid out by structure, so equity-style compounding and 10x/100x return framing do not apply; the appropriate lens is distribution yield plus NAV/unit-price appreciation, both of which are currently healthy.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REIT unit price moves are typically driven by distribution yield relative to bond yields rather than a technical breakout thesis.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pulled - large/REIT fast path, no forum deep-dive per rules (guided growth is routine, not a named structural inflection).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fraud, or governance issues surfaced; occupancy, NOI, DPU and NAV all trending positively).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Occupancy at 94% with positive re-leasing spreads (+17%) - genuine demand strength in core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NOI +15%, DPU +10% YoY with management guiding to double-digit growth again in FY2027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 +16% YoY - total return (yield + NAV appreciation) profile is currently attractive for the asset class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a distribution vehicle (~90% payout) - not a growth-equity compounder; 10x/100x framing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Distribution yield (~6.6% on IPO price) is sensitive to interest-rate moves, a macro factor outside company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(vs. routine leasing-driven growth) found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REIT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Bengaluru/major-metro Grade-A office demand tailwind is real (94% occupancy, positive leasing spreads); large-cap-equivalent fast path defaults tam to 'no' absent a named structural inflection; scale/quality of the portfolio is a real moat; valuation (distribution yield vs. bond yields) is a fair, not obviously cheap, trade-off. Four-box framing is illustrative only - REIT structure, not this score, drives thesis_fit.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FY2026 operating year (94% occupancy, NOI +15%, DPU +10%, NAV +16%) for India's largest listed office REIT - solid income/total-return case, but thesis_fit 'neither' by structure, not by a fundamentals weakness.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REIT structure precludes 10x/100x-style equity compounding (near-full payout of distributable cash flow) - thesis_fit 'neither' is the correct framing regardless of operating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Large-cap-equivalent fast path applied: guided double-digit FY2027 growth is routine leasing/rent-reversion momentum, not a specific named structural inflection, so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strong (occupancy, NOI, DPU, NAV all up) - conviction set to Medium as a total-return holding rather than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confirmed as a distinct entity from Embassy Developments Ltd (separate developer, already tracked under data/embassy-developments.json)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2026-09-16T02:49:19.790Z</dcterms:created>
  <dcterms:modified xsi:type="dcterms:W3CDTF">2026-09-16T02:49:19.790Z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