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Fineotex Chemical Ltd</w:t>
      </w:r>
    </w:p>
    <w:p>
      <w:pPr>
        <w:pBdr>
          <w:bottom w:val="single" w:color="CCCCCC" w:sz="6" w:space="8"/>
        </w:pBdr>
        <w:spacing w:after="200"/>
      </w:pPr>
      <w:r>
        <w:rPr>
          <w:i/>
          <w:iCs/>
          <w:color w:val="666666"/>
          <w:sz w:val="22"/>
          <w:szCs w:val="22"/>
        </w:rPr>
        <w:t xml:space="preserve">Mumbai-based textile/specialty-chemicals maker (NSE: FCL) with historically strong return ratios now moderating sharply - FY26 revenue growth and ROE/ROCE both running well below their own 5-year medians.</w:t>
      </w:r>
    </w:p>
    <w:p>
      <w:pPr>
        <w:pStyle w:val="Heading1"/>
        <w:spacing w:after="120" w:before="280"/>
      </w:pPr>
      <w:r>
        <w:t xml:space="preserve">Business Overview</w:t>
      </w:r>
    </w:p>
    <w:p>
      <w:pPr>
        <w:spacing w:after="120"/>
      </w:pPr>
      <w:r>
        <w:t xml:space="preserve">Fineotex Chemical Ltd (incorporated 1979, Mumbai) manufactures speciality chemicals and auxiliaries for textiles, construction, water treatment, fertilizer, leather and paint industries. Listed on NSE (ticker FCL) and BSE (533333). Seeded via X (untrusted triage, @JakeraChoudhury, high conviction bullish view).</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6,722 Cr (per one aggregator source - not independently cross-verified this pass; flagged for re-check)</w:t>
            </w:r>
          </w:p>
        </w:tc>
      </w:tr>
      <w:tr>
        <w:tc>
          <w:tcPr>
            <w:tcW w:type="dxa" w:w="3200"/>
            <w:shd w:fill="F2F2F2" w:val="clear"/>
          </w:tcPr>
          <w:p>
            <w:r>
              <w:rPr>
                <w:b/>
                <w:bCs/>
              </w:rPr>
              <w:t xml:space="preserve">Revenue / Profit (FY26)</w:t>
            </w:r>
          </w:p>
        </w:tc>
        <w:tc>
          <w:tcPr>
            <w:tcW w:type="dxa" w:w="5800"/>
          </w:tcPr>
          <w:p>
            <w:r>
              <w:t xml:space="preserve">~Rs 1,012 Cr / ~Rs 148 Cr</w:t>
            </w:r>
          </w:p>
        </w:tc>
      </w:tr>
      <w:tr>
        <w:tc>
          <w:tcPr>
            <w:tcW w:type="dxa" w:w="3200"/>
            <w:shd w:fill="F2F2F2" w:val="clear"/>
          </w:tcPr>
          <w:p>
            <w:r>
              <w:rPr>
                <w:b/>
                <w:bCs/>
              </w:rPr>
              <w:t xml:space="preserve">ROE (FY26)</w:t>
            </w:r>
          </w:p>
        </w:tc>
        <w:tc>
          <w:tcPr>
            <w:tcW w:type="dxa" w:w="5800"/>
          </w:tcPr>
          <w:p>
            <w:r>
              <w:t xml:space="preserve">~13.3%, vs 5-year median ~21.2%</w:t>
            </w:r>
          </w:p>
        </w:tc>
      </w:tr>
      <w:tr>
        <w:tc>
          <w:tcPr>
            <w:tcW w:type="dxa" w:w="3200"/>
            <w:shd w:fill="F2F2F2" w:val="clear"/>
          </w:tcPr>
          <w:p>
            <w:r>
              <w:rPr>
                <w:b/>
                <w:bCs/>
              </w:rPr>
              <w:t xml:space="preserve">ROCE (FY26)</w:t>
            </w:r>
          </w:p>
        </w:tc>
        <w:tc>
          <w:tcPr>
            <w:tcW w:type="dxa" w:w="5800"/>
          </w:tcPr>
          <w:p>
            <w:r>
              <w:t xml:space="preserve">~16.5%, vs 5-year median ~27.3%</w:t>
            </w:r>
          </w:p>
        </w:tc>
      </w:tr>
      <w:tr>
        <w:tc>
          <w:tcPr>
            <w:tcW w:type="dxa" w:w="3200"/>
            <w:shd w:fill="F2F2F2" w:val="clear"/>
          </w:tcPr>
          <w:p>
            <w:r>
              <w:rPr>
                <w:b/>
                <w:bCs/>
              </w:rPr>
              <w:t xml:space="preserve">Revenue growth (FY26)</w:t>
            </w:r>
          </w:p>
        </w:tc>
        <w:tc>
          <w:tcPr>
            <w:tcW w:type="dxa" w:w="5800"/>
          </w:tcPr>
          <w:p>
            <w:r>
              <w:t xml:space="preserve">~-9.6% YoY, vs 5-year CAGR ~25.1%</w:t>
            </w:r>
          </w:p>
        </w:tc>
      </w:tr>
      <w:tr>
        <w:tc>
          <w:tcPr>
            <w:tcW w:type="dxa" w:w="3200"/>
            <w:shd w:fill="F2F2F2" w:val="clear"/>
          </w:tcPr>
          <w:p>
            <w:r>
              <w:rPr>
                <w:b/>
                <w:bCs/>
              </w:rPr>
              <w:t xml:space="preserve">52-week range</w:t>
            </w:r>
          </w:p>
        </w:tc>
        <w:tc>
          <w:tcPr>
            <w:tcW w:type="dxa" w:w="5800"/>
          </w:tcPr>
          <w:p>
            <w:r>
              <w:t xml:space="preserve">~Rs 18.98 - Rs 44.45</w:t>
            </w:r>
          </w:p>
        </w:tc>
      </w:tr>
      <w:tr>
        <w:tc>
          <w:tcPr>
            <w:tcW w:type="dxa" w:w="3200"/>
            <w:shd w:fill="F2F2F2" w:val="clear"/>
          </w:tcPr>
          <w:p>
            <w:r>
              <w:rPr>
                <w:b/>
                <w:bCs/>
              </w:rPr>
              <w:t xml:space="preserve">Promoter holding</w:t>
            </w:r>
          </w:p>
        </w:tc>
        <w:tc>
          <w:tcPr>
            <w:tcW w:type="dxa" w:w="5800"/>
          </w:tcPr>
          <w:p>
            <w:r>
              <w:t xml:space="preserve">~62.3%, 0% pledged</w:t>
            </w:r>
          </w:p>
        </w:tc>
      </w:tr>
    </w:tbl>
    <w:p>
      <w:pPr>
        <w:spacing w:after="100"/>
      </w:pPr>
    </w:p>
    <w:p>
      <w:pPr>
        <w:spacing w:after="120"/>
      </w:pPr>
      <w:r>
        <w:t xml:space="preserve">Fineotex has a strong historical record (5-year median ROE ~21%, ROCE ~27%, revenue CAGR ~25%), but FY26 shows a clear deceleration: revenue contracted ~-9.6% YoY, and both ROE (~13.3%) and ROCE (~16.5%) are running well below their own medians. The 52-week range (~Rs 19 to Rs 44, more than 2x) reflects that volatility. This reads as a business past its recent growth peak rather than one at a fresh inflection - the reported market cap figure (~Rs 6,722 Cr) also looks high relative to FY26 revenue/profit and was not independently cross-verified this pass.</w:t>
      </w:r>
    </w:p>
    <w:p>
      <w:pPr>
        <w:pStyle w:val="Heading1"/>
        <w:spacing w:after="120" w:before="280"/>
      </w:pPr>
      <w:r>
        <w:t xml:space="preserve">Technical Read (Weekly / Monthly MACD + Bollinger Bands, or RSI/CCI/Williams %R proxy)</w:t>
      </w:r>
    </w:p>
    <w:p>
      <w:pPr>
        <w:spacing w:after="120"/>
      </w:pPr>
      <w:r>
        <w:t xml:space="preserve">Not pulled in detail - wide 52-week range (~Rs 19-44) suggests the stock has been volatile; a full technical read was deprioritized given the fundamentals-driven 'neither' outcome.</w:t>
      </w:r>
    </w:p>
    <w:p>
      <w:pPr>
        <w:pStyle w:val="Heading1"/>
        <w:spacing w:after="120" w:before="280"/>
      </w:pPr>
      <w:r>
        <w:t xml:space="preserve">ValuePickr Community Signal</w:t>
      </w:r>
    </w:p>
    <w:p>
      <w:pPr>
        <w:spacing w:after="120"/>
      </w:pPr>
      <w:r>
        <w:t xml:space="preserve">No forum thread check performed (Step 7 skipped - not genuinely promising per Step 6 default-neither outcome; topic_id remains null).</w:t>
      </w:r>
    </w:p>
    <w:p>
      <w:pPr>
        <w:spacing w:after="120"/>
      </w:pPr>
      <w:r>
        <w:rPr>
          <w:b/>
          <w:bCs/>
          <w:sz w:val="20"/>
          <w:szCs w:val="20"/>
        </w:rPr>
        <w:t xml:space="preserve">High-conviction call from a top contributor: </w:t>
      </w:r>
      <w:r>
        <w:rPr>
          <w:sz w:val="20"/>
          <w:szCs w:val="20"/>
        </w:rPr>
        <w:t xml:space="preserve">X seed only: @JakeraChoudhury (untrusted X triage), bullish, high conviction. No independent corroboration sought this pass.</w:t>
      </w:r>
    </w:p>
    <w:p>
      <w:pPr>
        <w:pStyle w:val="Heading1"/>
        <w:spacing w:after="120" w:before="280"/>
      </w:pPr>
      <w:r>
        <w:t xml:space="preserve">BSE Corporate Actions / Other Red Flags</w:t>
      </w:r>
    </w:p>
    <w:p>
      <w:pPr>
        <w:spacing w:after="120"/>
      </w:pPr>
      <w:r>
        <w:t xml:space="preserve">No SEBI/fraud/auditor/promoter-pledge issues found in the light web check (promoter pledge is 0%). No going-concern flags. Revenue/ROE/ROCE deceleration is a fundamentals concern, not a governance red flag.</w:t>
      </w:r>
    </w:p>
    <w:p>
      <w:pPr>
        <w:pStyle w:val="Heading1"/>
        <w:spacing w:after="120" w:before="280"/>
      </w:pPr>
      <w:r>
        <w:t xml:space="preserve">Bull Case</w:t>
      </w:r>
    </w:p>
    <w:p>
      <w:pPr>
        <w:pStyle w:val="ListParagraph"/>
        <w:numPr>
          <w:ilvl w:val="0"/>
          <w:numId w:val="1"/>
        </w:numPr>
        <w:spacing w:after="60"/>
      </w:pPr>
      <w:r>
        <w:t xml:space="preserve">Strong long-run historical return ratios (5-year median ROE ~21%, ROCE ~27%) and revenue CAGR (~25%)</w:t>
      </w:r>
    </w:p>
    <w:p>
      <w:pPr>
        <w:pStyle w:val="ListParagraph"/>
        <w:numPr>
          <w:ilvl w:val="0"/>
          <w:numId w:val="1"/>
        </w:numPr>
        <w:spacing w:after="60"/>
      </w:pPr>
      <w:r>
        <w:t xml:space="preserve">Diversified speciality-chemicals exposure across textiles, construction, water treatment, fertilizer, leather and paint</w:t>
      </w:r>
    </w:p>
    <w:p>
      <w:pPr>
        <w:pStyle w:val="ListParagraph"/>
        <w:numPr>
          <w:ilvl w:val="0"/>
          <w:numId w:val="1"/>
        </w:numPr>
        <w:spacing w:after="60"/>
      </w:pPr>
      <w:r>
        <w:t xml:space="preserve">No promoter pledge; promoter holding a healthy ~62%</w:t>
      </w:r>
    </w:p>
    <w:p>
      <w:pPr>
        <w:pStyle w:val="Heading1"/>
        <w:spacing w:after="120" w:before="280"/>
      </w:pPr>
      <w:r>
        <w:t xml:space="preserve">Bear Case / Key Risks</w:t>
      </w:r>
    </w:p>
    <w:p>
      <w:pPr>
        <w:pStyle w:val="ListParagraph"/>
        <w:numPr>
          <w:ilvl w:val="0"/>
          <w:numId w:val="1"/>
        </w:numPr>
        <w:spacing w:after="60"/>
      </w:pPr>
      <w:r>
        <w:t xml:space="preserve">FY26 revenue contracted ~-9.6% YoY against a 5-year CAGR of ~25% - a sharp growth deceleration, not an inflection upward</w:t>
      </w:r>
    </w:p>
    <w:p>
      <w:pPr>
        <w:pStyle w:val="ListParagraph"/>
        <w:numPr>
          <w:ilvl w:val="0"/>
          <w:numId w:val="1"/>
        </w:numPr>
        <w:spacing w:after="60"/>
      </w:pPr>
      <w:r>
        <w:t xml:space="preserve">ROE (~13.3%) and ROCE (~16.5%) both running well below their own 5-year medians (~21%/~27%) - profitability moderating alongside growth</w:t>
      </w:r>
    </w:p>
    <w:p>
      <w:pPr>
        <w:pStyle w:val="ListParagraph"/>
        <w:numPr>
          <w:ilvl w:val="0"/>
          <w:numId w:val="1"/>
        </w:numPr>
        <w:spacing w:after="60"/>
      </w:pPr>
      <w:r>
        <w:t xml:space="preserve">Reported market cap (~Rs 6,722 Cr) looks high relative to FY26 revenue (~Rs 1,012 Cr) / profit (~Rs 148 Cr) and was not independently cross-verified this pass</w:t>
      </w:r>
    </w:p>
    <w:p>
      <w:pPr>
        <w:pStyle w:val="ListParagraph"/>
        <w:numPr>
          <w:ilvl w:val="0"/>
          <w:numId w:val="1"/>
        </w:numPr>
        <w:spacing w:after="60"/>
      </w:pPr>
      <w:r>
        <w:t xml:space="preserve">Source is untrusted X triage with no independent corroboration this pass</w:t>
      </w:r>
    </w:p>
    <w:p>
      <w:pPr>
        <w:pStyle w:val="Heading1"/>
        <w:spacing w:after="120" w:before="280"/>
      </w:pPr>
      <w:r>
        <w:t xml:space="preserve">Market-Cap Tier (informational — not a gate in this project)</w:t>
      </w:r>
    </w:p>
    <w:p>
      <w:pPr>
        <w:spacing w:after="120"/>
      </w:pPr>
      <w:r>
        <w:rPr>
          <w:b/>
          <w:bCs/>
        </w:rPr>
        <w:t xml:space="preserve">Small/mid-cap specialty chemicals (~Rs 6,700 Cr per one source, unverified)</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no · TAM: no · moat: weak · valuation: weak  (score 1 / 4)</w:t>
      </w:r>
    </w:p>
    <w:p>
      <w:pPr>
        <w:spacing w:after="120"/>
      </w:pPr>
      <w:r>
        <w:rPr>
          <w:i/>
          <w:iCs/>
          <w:color w:val="666666"/>
          <w:sz w:val="20"/>
          <w:szCs w:val="20"/>
        </w:rPr>
        <w:t xml:space="preserve">FY26 revenue contraction (-9.6% YoY) and ROE/ROCE both well below their 5-year medians indicate a business decelerating, not inflecting - hard-neither band.</w:t>
      </w:r>
    </w:p>
    <w:p>
      <w:pPr>
        <w:pStyle w:val="Heading1"/>
        <w:spacing w:after="120" w:before="280"/>
      </w:pPr>
      <w:r>
        <w:t xml:space="preserve">Verdict</w:t>
      </w:r>
    </w:p>
    <w:p>
      <w:pPr>
        <w:spacing w:after="120"/>
      </w:pPr>
      <w:r>
        <w:rPr>
          <w:b/>
          <w:bCs/>
          <w:sz w:val="24"/>
          <w:szCs w:val="24"/>
        </w:rPr>
        <w:t xml:space="preserve">Entity confirmed as Fineotex Chemical Ltd (NSE: FCL) - a historically strong specialty-chemicals compounder now showing a clear FY26 growth and margin deceleration, with no fresh inflection found. Conviction Low.</w:t>
      </w:r>
    </w:p>
    <w:p>
      <w:pPr>
        <w:pStyle w:val="ListParagraph"/>
        <w:numPr>
          <w:ilvl w:val="0"/>
          <w:numId w:val="1"/>
        </w:numPr>
        <w:spacing w:after="60"/>
      </w:pPr>
      <w:r>
        <w:t xml:space="preserve">four_box = 1.0 (tailwind no - no named structural tailwind or inflection found this pass; tam no - FY26 revenue is contracting, not expanding; moat weak - niche specialty-chemicals positioning but no differentiation evidence produced this pass; valuation weak - reported market cap looks rich against current-year revenue/profit). Score is in the &lt;=1.5 hard-neither band.</w:t>
      </w:r>
    </w:p>
    <w:p>
      <w:pPr>
        <w:pStyle w:val="ListParagraph"/>
        <w:numPr>
          <w:ilvl w:val="0"/>
          <w:numId w:val="1"/>
        </w:numPr>
        <w:spacing w:after="60"/>
      </w:pPr>
      <w:r>
        <w:t xml:space="preserve">No red flag found - promoter pledge is 0%, no SEBI/auditor/going-concern issues surfaced.</w:t>
      </w:r>
    </w:p>
    <w:p>
      <w:pPr>
        <w:pStyle w:val="ListParagraph"/>
        <w:numPr>
          <w:ilvl w:val="0"/>
          <w:numId w:val="1"/>
        </w:numPr>
        <w:spacing w:after="60"/>
      </w:pPr>
      <w:r>
        <w:t xml:space="preserve">Step 7 forum check skipped - stock defaulted to 'neither' and was not judged genuinely promising enough to spend forum-search budget on; topic_id stays null.</w:t>
      </w:r>
    </w:p>
    <w:p>
      <w:pPr>
        <w:pStyle w:val="ListParagraph"/>
        <w:numPr>
          <w:ilvl w:val="0"/>
          <w:numId w:val="1"/>
        </w:numPr>
        <w:spacing w:after="60"/>
      </w:pPr>
      <w:r>
        <w:t xml:space="preserve">Source is untrusted X seed (JakeraChoudhury) only - fast fundamentals triage, not a verified deep-dive.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2026-09-13T11:06:05.739Z</dcterms:created>
  <dcterms:modified xsi:type="dcterms:W3CDTF">2026-09-13T11:06:05.739Z</dcterms:modified>
</cp:coreProperties>
</file>

<file path=docProps/custom.xml><?xml version="1.0" encoding="utf-8"?>
<Properties xmlns="http://schemas.openxmlformats.org/officeDocument/2006/custom-properties" xmlns:vt="http://schemas.openxmlformats.org/officeDocument/2006/docPropsVTypes"/>
</file>