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Garuda Construction and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Mumbai-region civil construction/EPC company (incorporated 2010, recently listed) posting exceptional return ratios (ROCE ~41.8%), triple-digit revenue growth and a cheap ~13x P/E - a genuine small-cap candidate, tempered by the lumpy, tender-driven economics typical of construction businesses.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Garuda Construction and Engineering Ltd was incorporated in 2010 and is primarily engaged in civil construction/EPC services, with a track record concentrated in the Mumbai region (including redevelopment-style projects per the forum thread title). FY26 standalone net profit rose to ~Rs 122.5 Cr from ~Rs 49.8 Cr in FY25, with revenue from operations scaling to ~Rs 530.7 Cr - a company still compounding off a relatively small base following its stock-market listing.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1,800-1,805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/ 52-week range</w:t>
            </w:r>
          </w:p>
        </w:tc>
        <w:tc>
          <w:tcPr>
            <w:tcW w:type="dxa" w:w="5800"/>
          </w:tcPr>
          <w:p>
            <w:r>
              <w:t xml:space="preserve">~Rs 194; range ~Rs 130 - Rs 249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~13.3x - cheap for the growth 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~41.8%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~31.2%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 growth</w:t>
            </w:r>
          </w:p>
        </w:tc>
        <w:tc>
          <w:tcPr>
            <w:tcW w:type="dxa" w:w="5800"/>
          </w:tcPr>
          <w:p>
            <w:r>
              <w:t xml:space="preserve">Revenue +133.4% YoY, net income +145.8% YoY; 5-year profit CAGR ~60%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standalone PAT</w:t>
            </w:r>
          </w:p>
        </w:tc>
        <w:tc>
          <w:tcPr>
            <w:tcW w:type="dxa" w:w="5800"/>
          </w:tcPr>
          <w:p>
            <w:r>
              <w:t xml:space="preserve">~Rs 122.5 Cr, up from ~Rs 49.8 Cr in FY25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numbers are genuinely strong for a ~Rs 1,800 Cr market cap: ROCE ~41.8% and ROE ~31.2% are well above typical construction-sector returns (usually thinner, working-capital-heavy businesses), the balance sheet is almost debt-free, and the stock trades at only ~13.3x trailing earnings against triple-digit recent revenue/profit growth and a ~60% 5-year profit CAGR. That combination - high returns, low leverage, cheap multiple, fast growth - is the profile the growth-math exception is meant to catch. The caveat: construction/EPC order books are inherently lumpy and tender-dependent, and a single-region (Mumbai) concentration plus a short public listing history means the growth rate and return ratios have not yet been tested through a full cycle.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Trades roughly midway in its 52-week range (~Rs 194 vs ~Rs 130-249 low/high) - not overheated, no technical read pulled beyond the 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topic resolved via forum search.json (not deep-read this pass, per budget: thread is small at 28 posts but a full read was deferred to keep this batch fast) - thread titled 'Garuda Construction and Engineering Ltd - All About WHAT WE KNOW and WHAT WE DON'T', created July 2025, last active June 2026, 28 posts/14 replies. Community framing (per the thread title itself) already flags this as a name with open questions, consistent with treating the growth numbers with some caution pending fuller diligence.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Thread exists and is active (last post June 2026) but was not deep-read this pass; no specific trusted-user signal captured.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SEBI enforcement, promoter-pledge, auditor-resignation, or going-concern issue surfaced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return ratios for the sector - ROCE ~41.8%, ROE ~31.2%, almost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valuation relative to growth: ~13.3x trailing P/E against 133%+ revenue growth and ~60% 5-year profit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nearly 2.5x FY25 PAT - genuine, recent earnings acceleration, not just a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ValuePickr community thread (28 posts through mid-2026) indicates the name is already on serious investors' radar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Construction/EPC is inherently lumpy and tender/order-book dependent - current growth rate is unlikely to be linearly sustainable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Short public track record (recently listed) and apparent regional (Mumbai) concentration - unproven through a full real-estate/construction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ValuePickr thread's own title ('WHAT WE KNOW and WHAT WE DON'T') signals open diligence questions that were not resolved in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return ratios in construction can reflect accounting/billing-cycle timing (e.g., percentage-of-completion recognition) rather than pure structural moat - not independently verified 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1,800-1,805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Strong infra/construction tailwind and large addressable market; moat is weak by sector nature (tender-driven) but returns are exceptional; valuation is cheap (~13.3x P/E) against triple-digit growth. Score 3.5 permits a 10x label given the genuine growth math.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Small-cap Mumbai-region construction/EPC name with exceptional return ratios (ROCE ~41.8%), triple-digit growth and a cheap ~13x P/E - four-box score of 3.5 supports a 10x label, though construction's lumpy, tender-driven economics and a short listed history warrant caution before treating this as verified.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3.5 (tailwind yes - India construction/infra and redevelopment capex cycle; tam yes - large addressable EPC/civil-construction market with room to scale off a small base; moat weak - tender-based construction is typically low-moat, tempered upward only by demonstrated superior returns; valuation yes - ~13.3x P/E against 60% 5-year profit CAGR is cheap) - score &gt;=3.0 permits (does not require) a 10x label, and the growth math (triple-digit revenue/profit growth, high ROCE, low leverage, cheap multiple) genuinely supports applying it here (analyst_override)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topic resolved: topic_id 202685, slug 'garuda-construction-and-engineering-ltd', category_id 19, 28 posts (created 2025-07-26, last active 2026-06-06) - noted for later state.json patching by the integrator; not deep-read this pass (small but budget-deferred)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Caution flagged explicitly in bear_case: construction economics are lumpy/tender-driven and the thread's own title signals open diligence questions - conviction set to Medium rather than High pending a fuller forum read in a future pass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2026-09-13T06:43:47.767Z</dcterms:created>
  <dcterms:modified xsi:type="dcterms:W3CDTF">2026-09-13T06:43:47.768Z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