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4E5F"/>
          <w:sz w:val="44"/>
          <w:szCs w:val="44"/>
        </w:rPr>
        <w:t xml:space="preserve">Golkunda Diamonds &amp; Jewellery Ltd</w:t>
      </w:r>
    </w:p>
    <w:p>
      <w:pPr>
        <w:pBdr>
          <w:bottom w:val="single" w:color="CCCCCC" w:sz="6" w:space="8"/>
        </w:pBdr>
        <w:spacing w:after="200"/>
      </w:pPr>
      <w:r>
        <w:rPr>
          <w:i/>
          <w:iCs/>
          <w:color w:val="666666"/>
          <w:sz w:val="22"/>
          <w:szCs w:val="22"/>
        </w:rPr>
        <w:t xml:space="preserve">Micro-cap diamond-studded jewellery exporter with a genuine Q1 FY27 margin/capacity inflection (EBITDA +69%, new Mumbai plant) and low debt, but only one quarter of proof against a weak 5-year growth history.</w:t>
      </w:r>
    </w:p>
    <w:p>
      <w:pPr>
        <w:pStyle w:val="Heading1"/>
        <w:spacing w:after="120" w:before="280"/>
      </w:pPr>
      <w:r>
        <w:t xml:space="preserve">Business Overview</w:t>
      </w:r>
    </w:p>
    <w:p>
      <w:pPr>
        <w:spacing w:after="120"/>
      </w:pPr>
      <w:r>
        <w:t xml:space="preserve">Golkunda Diamonds &amp; Jewellery Ltd (BSE: 523676, GOLKUNDIA) manufactures and exports diamond-studded gold jewellery, promoter-run (Dadha family, incorporated 1990). Seeded via untrusted-X triage (@rajuidesai, 2026-09-13, no thesis detail given).</w:t>
      </w:r>
    </w:p>
    <w:p>
      <w:pPr>
        <w:pStyle w:val="Heading1"/>
        <w:spacing w:after="120" w:before="280"/>
      </w:pPr>
      <w:r>
        <w:t xml:space="preserve">Fundamentals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Market cap</w:t>
            </w:r>
          </w:p>
        </w:tc>
        <w:tc>
          <w:tcPr>
            <w:tcW w:type="dxa" w:w="5800"/>
          </w:tcPr>
          <w:p>
            <w:r>
              <w:t xml:space="preserve">~Rs 140-238 Cr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Revenue</w:t>
            </w:r>
          </w:p>
        </w:tc>
        <w:tc>
          <w:tcPr>
            <w:tcW w:type="dxa" w:w="5800"/>
          </w:tcPr>
          <w:p>
            <w:r>
              <w:t xml:space="preserve">~Rs 290-297 Cr (FY, trailing)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Q1 FY27 revenue growth</w:t>
            </w:r>
          </w:p>
        </w:tc>
        <w:tc>
          <w:tcPr>
            <w:tcW w:type="dxa" w:w="5800"/>
          </w:tcPr>
          <w:p>
            <w:r>
              <w:t xml:space="preserve">+22.7% YoY to Rs 85.2 Cr; EBITDA +69.3% YoY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5-year sales growth</w:t>
            </w:r>
          </w:p>
        </w:tc>
        <w:tc>
          <w:tcPr>
            <w:tcW w:type="dxa" w:w="5800"/>
          </w:tcPr>
          <w:p>
            <w:r>
              <w:t xml:space="preserve">~10.2% (described as 'poor')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ROCE</w:t>
            </w:r>
          </w:p>
        </w:tc>
        <w:tc>
          <w:tcPr>
            <w:tcW w:type="dxa" w:w="5800"/>
          </w:tcPr>
          <w:p>
            <w:r>
              <w:t xml:space="preserve">19.38%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P/E</w:t>
            </w:r>
          </w:p>
        </w:tc>
        <w:tc>
          <w:tcPr>
            <w:tcW w:type="dxa" w:w="5800"/>
          </w:tcPr>
          <w:p>
            <w:r>
              <w:t xml:space="preserve">14.22x (3-yr avg 11.18x)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Net debt</w:t>
            </w:r>
          </w:p>
        </w:tc>
        <w:tc>
          <w:tcPr>
            <w:tcW w:type="dxa" w:w="5800"/>
          </w:tcPr>
          <w:p>
            <w:r>
              <w:t xml:space="preserve">Rs 5.36 Cr, decreasing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Promoter holding</w:t>
            </w:r>
          </w:p>
        </w:tc>
        <w:tc>
          <w:tcPr>
            <w:tcW w:type="dxa" w:w="5800"/>
          </w:tcPr>
          <w:p>
            <w:r>
              <w:t xml:space="preserve">72.8%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52-week range</w:t>
            </w:r>
          </w:p>
        </w:tc>
        <w:tc>
          <w:tcPr>
            <w:tcW w:type="dxa" w:w="5800"/>
          </w:tcPr>
          <w:p>
            <w:r>
              <w:t xml:space="preserve">Rs 168.85 - Rs 303.90</w:t>
            </w:r>
          </w:p>
        </w:tc>
      </w:tr>
    </w:tbl>
    <w:p>
      <w:pPr>
        <w:spacing w:after="100"/>
      </w:pPr>
    </w:p>
    <w:p>
      <w:pPr>
        <w:spacing w:after="120"/>
      </w:pPr>
      <w:r>
        <w:t xml:space="preserve">The Q1 FY27 print is a genuine positive inflection - revenue +22.7% and EBITDA +69.3% YoY, backed by a new Rs 12 Cr Mumbai facility adding 50-60% capacity - on top of a clean balance sheet (net debt just Rs 5.36 Cr, decreasing) and high, stable promoter holding (72.8%). Valuation (P/E ~14x) is reasonable if the growth holds. However, this is a single quarter against a weak 5-year sales CAGR of only ~10.2%, so it is a 'watch for confirmation' setup rather than a confirmed re-rating case this pass.</w:t>
      </w:r>
    </w:p>
    <w:p>
      <w:pPr>
        <w:pStyle w:val="Heading1"/>
        <w:spacing w:after="120" w:before="280"/>
      </w:pPr>
      <w:r>
        <w:t xml:space="preserve">Technical Read (Weekly / Monthly MACD + Bollinger Bands, or RSI/CCI/Williams %R proxy)</w:t>
      </w:r>
    </w:p>
    <w:p>
      <w:pPr>
        <w:spacing w:after="120"/>
      </w:pPr>
      <w:r>
        <w:t xml:space="preserve">Trading mid-range (52-wk Rs 168.85-303.90); no further TA pulled this pass.</w:t>
      </w:r>
    </w:p>
    <w:p>
      <w:pPr>
        <w:pStyle w:val="Heading1"/>
        <w:spacing w:after="120" w:before="280"/>
      </w:pPr>
      <w:r>
        <w:t xml:space="preserve">ValuePickr Community Signal</w:t>
      </w:r>
    </w:p>
    <w:p>
      <w:pPr>
        <w:spacing w:after="120"/>
      </w:pPr>
      <w:r>
        <w:t xml:space="preserve">No forum check performed - four_box score 2.5 (2.0-2.5 band defaults to neither absent an explicit exception); only one quarter of inflection data against a weak 5-year history did not support writing one.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High-conviction call from a top contributor: </w:t>
      </w:r>
      <w:r>
        <w:rPr>
          <w:sz w:val="20"/>
          <w:szCs w:val="20"/>
        </w:rPr>
        <w:t xml:space="preserve">None sought.</w:t>
      </w:r>
    </w:p>
    <w:p>
      <w:pPr>
        <w:pStyle w:val="Heading1"/>
        <w:spacing w:after="120" w:before="280"/>
      </w:pPr>
      <w:r>
        <w:t xml:space="preserve">BSE Corporate Actions / Other Red Flags</w:t>
      </w:r>
    </w:p>
    <w:p>
      <w:pPr>
        <w:spacing w:after="120"/>
      </w:pPr>
      <w:r>
        <w:t xml:space="preserve">No red flag identified. High, stable promoter holding (72.8%) is a positive governance signal.</w:t>
      </w:r>
    </w:p>
    <w:p>
      <w:pPr>
        <w:pStyle w:val="Heading1"/>
        <w:spacing w:after="120" w:before="280"/>
      </w:pPr>
      <w:r>
        <w:t xml:space="preserve">Bull Case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Q1 FY27 EBITDA +69.3% YoY on revenue +22.7% - genuine operating-leverage inflection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New Mumbai plant adds 50-60% capacity, funded without straining the balance sheet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Low, decreasing net debt (Rs 5.36 Cr); high promoter holding (72.8%); reasonable P/E (~14x)</w:t>
      </w:r>
    </w:p>
    <w:p>
      <w:pPr>
        <w:pStyle w:val="Heading1"/>
        <w:spacing w:after="120" w:before="280"/>
      </w:pPr>
      <w:r>
        <w:t xml:space="preserve">Bear Case / Key Risks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5-year revenue CAGR only ~10.2% - the inflection is one quarter old, not yet a trend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Diamond/gem jewellery export is a competitive, margin-thin, working-capital-heavy business generally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Micro-cap liquidity/size risk</w:t>
      </w:r>
    </w:p>
    <w:p>
      <w:pPr>
        <w:pStyle w:val="Heading1"/>
        <w:spacing w:after="120" w:before="280"/>
      </w:pPr>
      <w:r>
        <w:t xml:space="preserve">Market-Cap Tier (informational — not a gate in this project)</w:t>
      </w:r>
    </w:p>
    <w:p>
      <w:pPr>
        <w:spacing w:after="120"/>
      </w:pPr>
      <w:r>
        <w:rPr>
          <w:b/>
          <w:bCs/>
        </w:rPr>
        <w:t xml:space="preserve">Micro-cap (~Rs 140-240 Cr)</w:t>
      </w:r>
    </w:p>
    <w:p>
      <w:pPr>
        <w:pStyle w:val="Heading1"/>
        <w:spacing w:after="120" w:before="280"/>
      </w:pPr>
      <w:r>
        <w:t xml:space="preserve">Thesis Fit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neither</w:t>
      </w:r>
    </w:p>
    <w:p>
      <w:pPr>
        <w:spacing w:after="120"/>
      </w:pPr>
      <w:r>
        <w:rPr>
          <w:color w:val="666666"/>
          <w:sz w:val="20"/>
          <w:szCs w:val="20"/>
        </w:rPr>
        <w:t xml:space="preserve">4-box gate — tailwind: weak · TAM: weak · moat: weak · valuation: yes  (score 2.5 / 4)</w:t>
      </w:r>
    </w:p>
    <w:p>
      <w:pPr>
        <w:spacing w:after="120"/>
      </w:pPr>
      <w:r>
        <w:rPr>
          <w:i/>
          <w:iCs/>
          <w:color w:val="666666"/>
          <w:sz w:val="20"/>
          <w:szCs w:val="20"/>
        </w:rPr>
        <w:t xml:space="preserve">Genuine Q1 FY27 margin/capacity inflection and clean balance sheet, but only one quarter of proof against a weak 5-year growth base - watch, don't yet act.</w:t>
      </w:r>
    </w:p>
    <w:p>
      <w:pPr>
        <w:pStyle w:val="Heading1"/>
        <w:spacing w:after="120" w:before="280"/>
      </w:pPr>
      <w:r>
        <w:t xml:space="preserve">Verdict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Real Q1 FY27 margin/capacity inflection and clean balance sheet, but only one quarter of proof against a weak 5-year growth base - four_box score 2.5, defaults to neither; worth a re-look after 1-2 more quarters.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four_box: tailwind weak (0.5, company-specific capacity add rather than a sector-wide theme), tam weak (0.5, niche jewellery exporter), moat weak (0.5, some export relationships/promoter stability, not a hard moat), valuation yes (1.0, P/E ~14x reasonable for the growth shown) = 2.5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2.0-2.5 band defaults to 'neither' absent an explicit exception; declined to write one given only a single confirming quarter against a weak 5-yr CAGR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conviction Medium - untrusted X seed, but fundamentals (debt, promoter holding, Q1 inflection) are genuinely more constructive than the other five names in this batch; flagged for re-check next quarter rather than dismissed outright</w:t>
      </w:r>
    </w:p>
    <w:p>
      <w:pPr>
        <w:pBdr>
          <w:top w:val="single" w:color="CCCCCC" w:sz="6" w:space="8"/>
        </w:pBdr>
        <w:spacing w:before="300"/>
      </w:pPr>
      <w:r>
        <w:rPr>
          <w:i/>
          <w:iCs/>
          <w:color w:val="666666"/>
          <w:sz w:val="18"/>
          <w:szCs w:val="18"/>
        </w:rPr>
        <w:t xml:space="preserve">This is independent research and analysis for informational purposes only, not personalized financial or investment advice. Past multi-bagger performance and forum/social sentiment are not indicators of future returns. Do your own due diligence before investing.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2026-09-15T15:09:43.967Z</dcterms:created>
  <dcterms:modified xsi:type="dcterms:W3CDTF">2026-09-15T15:09:43.968Z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