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Granules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 integrated API/PFI/FD pharma exporter (APIs -&gt; intermediates -&gt; finished formulations) with solid mid-teens ROE/ROCE and low debt - no specific named structural inflection found; fast large-cap-bucket triage only.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Granules India manufactures active pharmaceutical ingredients (APIs), pharmaceutical formulation intermediates (PFIs) and finished dosages (FDs), with a vertically integrated model and significant exposure to US/regulated-market generics (e.g. paracetamol, metformin and other high-volume molecules). Listed on NSE/BSE.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21,700-22,500 Cr (up ~70%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432.60 - Rs 910.00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~14.1% / ROCE ~15.7%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5,632 Cr / Profit ~Rs 662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</w:t>
            </w:r>
          </w:p>
        </w:tc>
        <w:tc>
          <w:tcPr>
            <w:tcW w:type="dxa" w:w="5800"/>
          </w:tcPr>
          <w:p>
            <w:r>
              <w:t xml:space="preserve">~10.6% over past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~0.3 - moderate, manageable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Granules has had a strong run (market cap +70% over the past year) on the back of a vertically integrated API-to-formulations model and decent, if unspectacular, 5-year sales growth (~10.6%) with mid-teens ROE/ROCE and modest leverage. No specific named management or structural inflection (a major new regulated-market approval, a transformative capacity expansion tied to a named contract, or similar) surfaced in this fast pass - the re-rating over the past year looks driven by broader API/generics sector sentiment rather than a company-specific step-change catalyst identified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large-cap-bucket triage; stock is well off its 52-week low after a strong run, but chart position doesn't change the default call absent a fundamental inflection.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 large-cap-bucket fast-triage rule (no named inflection) skips forum deep-dive per scope.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 integrated API-&gt;PFI-&gt;FD model with exposure to regulated (US) generics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Mid-teens ROE/ROCE with moderate leverage (D/E ~0.3)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1-year price/market-cap performance reflecting improved sector sentiment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identified this pass - the re-rating looks sector-driven, not company-specific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CAGR (~10.6%) is moderate, not a hyper-growth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 enough (~Rs 21,700+ Cr) that a literal 10x/100x-type return is a high bar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Large/mid-cap bucket per triage scope (~Rs 21,700-22,500 Cr; SEBI classifies as Small Cap per one source, but treated in the large-cap-default bucket for this pass)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Vertically integrated API/formulations exporter with solid mid-teens returns and low leverage, but no named structural inflection found - default 'neither' call, conviction Low-Medium, no forum deep-dive done per fast-triage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Granules India Ltd, NSE: GRANULES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Large-cap-bucket default rule applied per task instructions (named as a likely-large-cap candidate): tam scored 'no' absent a specific named inflection; four_box exercise skipped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Solid fundamentals (ROE/ROCE mid-teens, low debt) support Low-Medium (not higher) conviction; no company-specific catalyst found to justify a higher-conviction or 10x/100x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2026-09-15T15:26:31.086Z</dcterms:created>
  <dcterms:modified xsi:type="dcterms:W3CDTF">2026-09-15T15:26:31.087Z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