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ICICI Lombard General Insurance Company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private non-life insurer (~9.4% GDPI share), benefiting from a specific named structural tailwind - the September 2025 GST exemption on individual health/life premiums - but a mega-cap with no path to a 10x/100x outcome.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ICICI Lombard is India's largest private general (non-life) insurer by Gross Direct Premium Income, with a diversified motor/health/property book. In September 2025, GST on individual health and life insurance premiums was cut from 18% to nil - a specific, named, sector-wide regulatory/structural shift (not a generic 'good business' claim) that is driving retail health demand; management/analysts cite ~16% H2 FY26 GWP growth expected in health. The reform also forced commission cuts to distributors (input tax credit changes), a near-term profitability offset. Seeded 2026-09-13 via untrusted X triage (@saditya10p, medium conviction claimed).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72,900 Cr (screener.in); other sources show higher (~Rs 1.02 lakh Cr) - conflicting figures not reconciled this pass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1,545 - Rs 2,065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(FY, screener basis)</w:t>
            </w:r>
          </w:p>
        </w:tc>
        <w:tc>
          <w:tcPr>
            <w:tcW w:type="dxa" w:w="5800"/>
          </w:tcPr>
          <w:p>
            <w:r>
              <w:t xml:space="preserve">~Rs 27,687 Cr; annual revenue ~Rs 24,020 Cr with ~10.3% growth (alternate source)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</w:t>
            </w:r>
          </w:p>
        </w:tc>
        <w:tc>
          <w:tcPr>
            <w:tcW w:type="dxa" w:w="5800"/>
          </w:tcPr>
          <w:p>
            <w:r>
              <w:t xml:space="preserve">~Rs 2,428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~17%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~51.2%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position</w:t>
            </w:r>
          </w:p>
        </w:tc>
        <w:tc>
          <w:tcPr>
            <w:tcW w:type="dxa" w:w="5800"/>
          </w:tcPr>
          <w:p>
            <w:r>
              <w:t xml:space="preserve">Largest private non-life insurer, ~9.4% GDPI market share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GST reform (Sept 2025) is a genuine structural tailwind for retail health insurance demand - premiums became cheaper for policyholders overnight, and ICICI Lombard is a direct beneficiary given its scale in health/retail lines. Near-term, insurers had to cut distributor commissions to protect margins under the new input-tax-credit regime, which is a real offset worth watching over the next few quarters. ROE (~17%) and market position are solid for the sector. This is a real, named inflection - not a generic bull case - but the company is already a ~Rs 70,000-100,000 Cr mega-cap, which rules out extreme-return (10x/100x) math regardless of the tailwind's quality.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in the upper half of its 52-week range (~Rs 1,545-2,065) - not decision-relevant to the large-cap 'neither' verdict.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deep-dive performed - large-cap-with-inflection still can't support this project's 10x/100x thesis, so a full ValuePickr thread read was not pursued per fast-triage scope. No dedicated thread search attempted this pass; topic_id remains null.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 this pass beyond the originating X mention.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SEBI/fraud/going-concern red flags found. Company has faced routine GST demand notices/disputes (standard for insurers post the 2025 GST rate change) and has contested/received partial relief on some of these - administrative/tax litigation noise, not a red-flag-tier issue.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Named, dated structural tailwind: GST on individual health/life premiums cut to nil (Sept 2025), directly boosting retail health demand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Largest private non-life insurer in India (~9.4% GDPI share) with strong distribution and brand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Solid ROE (~17%) and improving claims experience cited as an additional earnings tailwind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Mega-cap (~Rs 70,000-100,000+ Cr) - no plausible path to a 10x-in-2-3-years or 100x-in-10-years outcome regardless of the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GST reform forced commission cuts to distributors - a real near-term margin offset to the demand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Market-cap figures across sources are inconsistent (screener ~Rs 72,900 Cr vs another source's ~Rs 1.02 lakh Cr) - not reconciled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Untrusted, uncorroborated X source (@saditya10p, medium conviction only)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Large/mega-cap (~Rs 70,000-100,000+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Named Sept-2025 GST-exemption structural tailwind (not generic) justifies tam=yes for a large-cap; market leadership supports moat; valuation weak given near-term commission-cut margin offset and mixed market-cap data. Mega-cap size means the score is informational only - thesis_fit stays 'neither' regardless.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named structural tailwind (Sept 2025 GST exemption on health/life premiums) directly benefits India's largest private non-life insurer, but mega-cap size rules out this project's 10x/100x thesis - 'neither',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rule: found a specific NAMED regulatory/structural inflection (GST exemption, Sept 2025) rather than a generic 'good business' claim, so tam scored 'yes' rather than the large-cap default 'no'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 with the inflection, market cap (~Rs 70,000-100,000+ Cr) is far too large for a 10x-in-2-3-years or 100x-in-10-years outcome to be mathematically plausible - thesis_fit 'neither' regardless of four-box score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 (not higher): the inflection is real, but a near-term margin offset (commission cuts) and unreconciled market-cap figures temper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 deep-dive per fast-triage scope for large-caps; topic_id not resolved (null)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2026-09-13T06:26:04.827Z</dcterms:created>
  <dcterms:modified xsi:type="dcterms:W3CDTF">2026-09-13T06:26:04.828Z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