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IFCI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Legacy PSU term-lending NBFC (est. 1948) with weak through-cycle returns (ROE ~2.3% 3-yr avg, ROCE ~5.6%, flat 5-yr revenue) - large-cap by market cap; a group-consolidation/disinvestment process is underway but is still in-principle/early-stage, not yet a confirmed named inflection.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IFCI is a government-owned NBFC providing financial support to infrastructure and industrial projects (airports, roads, telecom, power, real estate, manufacturing). Large-cap by market value despite historically weak return metrics. LARGE-CAP fast-track applied per screen rules: default tam=no absent a confirmed, specific named management/structural inflection.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22,172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 avg)</w:t>
            </w:r>
          </w:p>
        </w:tc>
        <w:tc>
          <w:tcPr>
            <w:tcW w:type="dxa" w:w="5800"/>
          </w:tcPr>
          <w:p>
            <w:r>
              <w:t xml:space="preserve">~2.29% - weak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~5.58% - weak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 (5-yr)</w:t>
            </w:r>
          </w:p>
        </w:tc>
        <w:tc>
          <w:tcPr>
            <w:tcW w:type="dxa" w:w="5800"/>
          </w:tcPr>
          <w:p>
            <w:r>
              <w:t xml:space="preserve">~-0.05% - flat/declining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Equity</w:t>
            </w:r>
          </w:p>
        </w:tc>
        <w:tc>
          <w:tcPr>
            <w:tcW w:type="dxa" w:w="5800"/>
          </w:tcPr>
          <w:p>
            <w:r>
              <w:t xml:space="preserve">~0.43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46.20 - Rs 95.75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IFCI's headline return metrics are weak on a through-cycle basis (3-yr avg ROE ~2.3%, ROCE ~5.6%, essentially flat 5-yr revenue). There are signs of a quarter-level turnaround (Q3 FY26 standalone profit of Rs 6.85 Cr vs a loss of Rs 58.96 Cr in Q3 FY25) and government-directed initiatives - disinvestment of non-core stakes (e.g., NEDFi), an in-principle Department of Financial Services approval for 'Consolidation of IFCI Group' (potential merger/amalgamation of group companies), and a new Deputy MD (Manikumar Sivaramakrishnan, appointed April 2026, ex-Indian Overseas Bank/NABARD). None of this yet rises to a confirmed, completed structural inflection - the group consolidation is still 'in-principle,' and one source explicitly notes the broader financial trend 'remains negative' with declining profitability/sales on other quarterly cuts.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fast large-cap track, no TA needed given the 'neither' disposition.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check performed (large-cap-no-inflection fast track; no deep-dive per screen rules).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- fast track.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AVOID/EXCLUDE/HIGH CAUTION trigger found (no going-concern, fraud/SEBI order, promoter-pledge-type or auditor-resignation pattern - PSU with no promoter pledge structure applicable).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Government-directed group consolidation (in-principle DFS approval) and non-core stake disinvestment (NEDFi, and historically SHCIL/ACRE-type sales) could unlock value if completed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senior management appointment (Deputy MD, April 2026) with relevant banking/NBFC experience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recent quarter (Q3 FY26) showed a swing to profit from a prior-year loss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Weak through-cycle returns: 3-yr avg ROE ~2.3%, ROCE ~5.6%, essentially flat 5-yr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Group consolidation is still in-principle/early-stage - not a confirmed, executed structural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Mixed signals on the turnaround: at least one source describes the broader financial trend as still negative with declining profitability/sales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Legacy PSU NBFC balance-sheet and asset-quality history warrants ongoing scrutiny beyond this fast pass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22,172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Large-cap PSU NBFC with weak through-cycle returns (ROE ~2.3%, ROCE ~5.6%, flat revenue); a group-consolidation/disinvestment process is underway but remains in-principle, not a confirmed named inflection. LARGE-CAP fast-track applied: thesis_fit 'neither', conviction Low, no four_box/forum deep-dive per screen rules.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LARGE-CAP rule applied: market cap ~Rs 22,172 Cr places IFCI in the large-cap default-tam=no bucket.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Candidate inflections considered - group consolidation (in-principle DFS approval), non-core disinvestment, new Deputy MD - none confirmed as a completed, specific structural/management inflection; one source states the broader financial trend remains negative.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inflection found -&gt; thesis_fit 'neither', conviction Low-Medium capped at Low given the flat 5-yr revenue and sub-3% average ROE; no forum deep-dive performed per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2026-09-15T15:11:47.767Z</dcterms:created>
  <dcterms:modified xsi:type="dcterms:W3CDTF">2026-09-15T15:11:47.768Z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