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International Gemmological Institute (India) Ltd (IGI)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Global diamond/gemstone/jewellery certification leader (including lab-grown diamonds) with strong margins and growth, but at a ~Rs 15,000 Cr market cap this reads as large-cap with no specific named structural inflection found this pass.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IGI is a global leader in certifying diamonds (natural and lab-grown), gemstones and jewellery. Q1 FY27 revenue grew ~23% YoY with EBITDA up ~29% to Rs 2,238 mn at a ~60.4% margin. Seeded via untrusted X triage (@PRATIKBULANI555, 2026-09-13, high conviction per the X source).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15,022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(3-yr avg)</w:t>
            </w:r>
          </w:p>
        </w:tc>
        <w:tc>
          <w:tcPr>
            <w:tcW w:type="dxa" w:w="5800"/>
          </w:tcPr>
          <w:p>
            <w:r>
              <w:t xml:space="preserve">~31.8%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Q1 FY27 +23% YoY; 5-yr profit CAGR ~67.8%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EBITDA margin ~60.4% (Q1 FY27)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287 - Rs 392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Very high-quality metrics (near-60% EBITDA margins, ~32% ROE, debt-free, strong growth) reflecting IGI's asset-light, high-barrier certification-lab moat and the structural rise of lab-grown diamonds as a certification category. However at ~Rs 15,000 Cr this sits in large-cap territory for this project's convention, and this pass did not surface a specific NAMED management/structural inflection (e.g., a new regulatory certification mandate, a named capital-allocation shift) beyond the existing 'lab-grown diamond growth' narrative, which is a well-known structural theme already reflected in the business's strong reported numbers - the fast-lane default therefore applies.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mid-range of its 52-week band (~Rs 287-392); no technical read pulled beyond that.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deep-dive performed per large-cap-no-inflection fast-lane rule.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sought this pass (large-cap fast lane).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in this pass (screener/web sources only).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Exceptional margins (~60% EBITDA) and ROE (~32%) reflecting a genuine certification-lab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lab-grown-diamond volume growth benefits IGI as the leading certifier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balance sheet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specific named structural/management inflection confirmed this pass beyond the existing lab-grown-diamond growth narrative - large-cap fast-lane default applies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Recently listed - limited multi-year public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Certification volumes/pricing exposed to diamond-jewellery demand cycles and any shift in lab-grown diamond retail pricing trends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15,000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High-margin, high-ROE certification-lab leader in the lab-grown-diamond growth wave; no specific named inflection found this pass at a ~Rs 15,000 Cr market cap - thesis_fit 'neither', conviction Low-Medium.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(~Rs 15,000 Cr) triggers the default tam:no fast-lane rule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Lab-grown-diamond growth is a real structural theme but reads as an existing well-known narrative rather than a newly identified named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 found; exceptional margins/ROE and debt-free balance sheet support Low-Medium (not just Low)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 deep-dive performed per fast-lane rule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2026-09-15T15:09:12.982Z</dcterms:created>
  <dcterms:modified xsi:type="dcterms:W3CDTF">2026-09-15T15:09:12.983Z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