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Inox Green Energy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only listed pure-play wind O&amp;M company, with long-term (5-20yr) locked-in contracts riding the wind-capacity buildout - but weak capital efficiency (ROE ~5.6%) and a rich ~56x P/E leave no valuation cushion.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Inox Green Energy Services Ltd (NSE: INOXGREEN) is part of the INOX Wind group and provides operations &amp; maintenance (O&amp;M) services for wind turbine generators (WTGs) and common infrastructure, under long-term contracts of 5-20 years tied to INOX Wind's installed fleet and third-party wind assets. Entity confirmed via screener.in/NSE - unambiguous match to the state.json name 'Inox Green Energy'.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6,927 Cr (price ~Rs 172) - mid-cap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~8.42%; ROE ~5.62% (3-yr avg only ~3.18%) - weak capital efficiency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~56.5x; Book value ~Rs 42.5 - richly priced for the return profile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 growth</w:t>
            </w:r>
          </w:p>
        </w:tc>
        <w:tc>
          <w:tcPr>
            <w:tcW w:type="dxa" w:w="5800"/>
          </w:tcPr>
          <w:p>
            <w:r>
              <w:t xml:space="preserve">5-yr sales growth only ~10.3% (poor); 5-yr profit CAGR ~21.5% (better, likely cost/scale driven)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 reduced, now 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132.58 - Rs 279 - currently well off the high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business model is genuinely differentiated - India's only listed pure-play wind O&amp;M provider with long-duration (5-20yr) contracted revenue tied to a growing installed wind fleet, and the balance sheet has been cleaned up (almost debt-free). But the return ratios undercut the story: ROE of just ~5.6% (3-yr average ~3.18%) is weak, and a ~56.5x P/E leaves essentially no valuation margin of safety if growth or margins disappoint. Revenue growth itself has been poor (~10.3% over 5 years); most of the profit CAGR (~21.5%) looks to be coming from cost/scale efficiencies and debt reduction rather than volume growth.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at ~Rs 172 against a 52-week range of Rs 132.58-279 - roughly 38% off the high, in the lower-middle of the range.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forum thread check performed this pass - the four_box score (2.5) falls in the default-'neither' band and does not clear the bar for a 'genuinely promising' light forum check; state.json topic_id is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(no SEBI/fraud action, no auditor resignation, no promoter-holding collapse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only listed pure-play renewable O&amp;M provider - a genuinely differentiated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Long-term (5-20yr) locked-in contracts give revenue visibility tied to India's wind-capacity buildout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cleaned up - debt reduced, now almost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profit CAGR of ~21.5% shows real operating improvement even against weak revenue growth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just ~5.62% (3-yr average ~3.18%) - weak capital efficiency for the valuation being asked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~56.5x is rich against this return profile - little cushion if growth or margins disappoint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revenue growth of only ~10.3% - much of the profit growth looks to be cost/margin driven, not volume 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down ~38% from its 52-week high - no positive momentum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forum/community corroboration found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6,927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yes: India's wind-capacity buildout drives O&amp;M contract growth. Tam yes: long-duration (5-20yr) contracted revenue base expanding with fleet additions. Moat weak: sole listed pure-play status is real, but low realized returns (ROE ~5.6%) suggest limited pricing power translating to shareholder returns. Valuation no: ~56.5x P/E is rich against the return profile.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differentiated, debt-light wind-O&amp;M franchise with long-term contracted revenue, but weak ROE (~5.6%) and a rich ~56x P/E keep this in the default-'neither' band.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 - India wind-capacity buildout; tam yes - long-duration O&amp;M contract base growing with fleet additions; moat weak - sole-listed-pure-play status tempered by low realized returns; valuation no - ~56.5x P/E against ~5.6% ROE). Score sits in the 2.0-2.5 default-'neither' band; no explicit exception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- this is a fundamentals-driven 'neither', not a disqualification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if ROE trends meaningfully higher or the valuation multiple compresses toward the return profile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2026-09-16T02:51:48.687Z</dcterms:created>
  <dcterms:modified xsi:type="dcterms:W3CDTF">2026-09-16T02:51:48.687Z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