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Pasupati Fincap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NBFC shell in deep distress: negative book value, a Q2 FY26 net loss, and a complete promoter exit (11.51% to 0.00% of holding) within one year - an AVOID red flag.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book value per share (~-Rs 1.27); complete promoter exit (11.51% Mar 2025 -&gt; 0.00% Jun 2025); negligible revenue with recurring losses (Q2 FY26 net loss ~Rs 0.07 Cr).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Pasupati Fincap is a micro-cap NBFC engaged in investment, financing and corporate loans. Seeded via untrusted X triage (@bastionresearch, bullish/medium conviction, 2026-09-13). Current market cap is only ~Rs 5-8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5.4-8 Cr (micro-cap shell)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Negative (~-Rs 1.27/share)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Q2 FY26 result</w:t>
            </w:r>
          </w:p>
        </w:tc>
        <w:tc>
          <w:tcPr>
            <w:tcW w:type="dxa" w:w="5800"/>
          </w:tcPr>
          <w:p>
            <w:r>
              <w:t xml:space="preserve">Net loss of ~Rs 0.07 Cr on negligible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11.51% (Mar 2025) -&gt; 0.00% (Jun 2025) - complete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 / debtors</w:t>
            </w:r>
          </w:p>
        </w:tc>
        <w:tc>
          <w:tcPr>
            <w:tcW w:type="dxa" w:w="5800"/>
          </w:tcPr>
          <w:p>
            <w:r>
              <w:t xml:space="preserve">Low interest coverage; high debtor days (~162 days)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9.09 - Rs 29.70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fast red-flag disposition. Pasupati Fincap has a negative book value per share, negligible revenue and recurring small losses, and - most decisively - its promoters completely exited their holding (11.51% to 0.00%) within a single year (Mar-Jun 2025). A complete promoter exit combined with negative net worth is a textbook going-concern/AVOID pattern, not a turnaround candidate. The bullish X seed is not corroborated by any underlying fundamental improvement.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relevant - red flag, no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(AVOID).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Negative book value per share (~-Rs 1.27); complete promoter exit (11.51% -&gt; 0.00% within one year, Mar-Jun 2025); negligible revenue with recurring losses; high debtor days and low interest coverage.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found - no offsetting positive found in this pass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net worth / negative book value per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have completely exited their holding within a year - a severe governance and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Negligible revenue, recurring losses, weak receivables and interest-coverage metrics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5-8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Micro-cap NBFC shell with negative net worth and a complete promoter exit within one year - a clear AVOID regardless of the bullish X seed.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negative book value (going-concern pattern) plus complete promoter exit (11.51% -&gt; 0.00%, Mar-Jun 2025) - never overridden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4/four-box skipped per the red-flag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named corporate event (promoter exit) was independently verified via a Q2 FY26 results-analysis source, not inferred from a dramatic-sounding name alone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2026-09-16T02:49:44.607Z</dcterms:created>
  <dcterms:modified xsi:type="dcterms:W3CDTF">2026-09-16T02:49:44.608Z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