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RBL Bank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Mid-sized private bank (~Rs 62,500 Cr market cap) with persistently weak profitability (ROE ~5%, ROCE ~6%) and ongoing microfinance/credit-card asset-quality stress - a large-cap with no named structural inflection to justify a re-rating thesis.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RBL Bank is a private-sector bank with retail, wholesale and commercial banking segments, historically overweight unsecured retail (credit cards, microfinance). Seeded via untrusted X triage (@mystockedge, bullish, medium conviction, 2026-09-13). CEO R Subramaniakumar (since 2022, a turnaround specialist) has made incremental executive changes (e.g. Kumar Ashish as Head of Retail Assets, May 2025) but asset-quality stress in microfinance and credit cards has persisted through 2025-26, with collection efficiencies in some states below the 95%+ comfort level.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62,500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404 (range ~Rs 243-420)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~5.1% (3-yr avg ~5.9%) - weak for a bank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(5yr)</w:t>
            </w:r>
          </w:p>
        </w:tc>
        <w:tc>
          <w:tcPr>
            <w:tcW w:type="dxa" w:w="5800"/>
          </w:tcPr>
          <w:p>
            <w:r>
              <w:t xml:space="preserve">~11.5% 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Asset quality</w:t>
            </w:r>
          </w:p>
        </w:tc>
        <w:tc>
          <w:tcPr>
            <w:tcW w:type="dxa" w:w="5800"/>
          </w:tcPr>
          <w:p>
            <w:r>
              <w:t xml:space="preserve">Ongoing stress in microfinance + credit-card books; low interest coverage flagged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large-cap bank (~Rs 62,500 Cr) with sub-par returns on equity/capital versus peers, driven by unresolved stress in its unsecured retail (microfinance, credit card) book. Leadership has been stable since 2022 with only incremental executive reshuffles - no fresh, named management or structural inflection event was found this pass that would justify a re-rating case at this market cap.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pass, thesis_fit 'neither' makes technical read low-value.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per the large-cap-no-inflection fast rule.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flags found. Contingent liabilities (~Rs 1,45,506 Cr) are standard for a bank's LC/guarantee book, not a distress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Turnaround-oriented CEO in place since 2022 with a stated focus on governance and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deposit/retail franchise with room for cost-of-funds and mix improvement if asset quality stabilises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(~5%) and ROCE (~6%) well below what a re-rating case would need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Microfinance and credit-card slippages remain elevated with no clear resolution timeline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identified - default large-cap treatment applies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62,500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weak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tam:no applied (no named structural inflection found). Tailwind/moat/valuation all weak given persistent unsecured-book stress and sub-par returns.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private bank with weak ROE/ROCE and unresolved microfinance/credit-card stress; no named structural inflection found - fast large-cap pass,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(~Rs 62,500 Cr) triggers the default tam:no fast-pass rule - no specific named management/structural inflection was identified beyond a 2022 CEO change with incremental executive reshuffles since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~5%, ROCE ~6%, five-year revenue growth only ~11.5% - fundamentals do not support a re-rating thesis on their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rule; topic_id remains null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weak profitability is not itself an AVOID/EXCLUDE/HIGH CAUTION trigger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2026-09-16T02:47:59.462Z</dcterms:created>
  <dcterms:modified xsi:type="dcterms:W3CDTF">2026-09-16T02:47:59.467Z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