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RKEC Projects Ltd (RKEC Infra)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 civil/defense-infrastructure EPC contractor with promoters having pledged ~78.5% of their holding - a severe distress signal that overrides an otherwise modest fundamentals profile.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Promoters have pledged ~78.5% of their holding - a severe balance-sheet-stress signal for the promoter entity - alongside high debtor days (~154), flagged low interest coverage, and a ~64% one-year market-cap decline.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RKEC Projects Ltd (NSE: RKEC), incorporated 2005, is a civil and defense-infrastructure construction/engineering company working on industrial, marine and bridge projects. Seeded via an untrusted X tip (@rajuidesai, bearish, high conviction, 2026-09-13) - directionally corroborated by the promoter-pledge finding.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72.4 Cr (down ~-64.4%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258 Cr; Profit ~Rs 9.48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~10.8% (3-yr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60.61 - 148.50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pledge</w:t>
            </w:r>
          </w:p>
        </w:tc>
        <w:tc>
          <w:tcPr>
            <w:tcW w:type="dxa" w:w="5800"/>
          </w:tcPr>
          <w:p>
            <w:r>
              <w:t xml:space="preserve">~78.5% of promoter holding pledged - severe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High debtors (~154 days); low interest coverage flagged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Fast disposition - HIGH CAUTION. RKEC is a small, still-revenue-generating EPC contractor (Rs 258 Cr revenue, modest Rs 9.5 Cr profit, ~10.8% ROE) - not outright loss-making or negative-net-worth - but promoters having pledged ~78.5% of their holding is a severe balance-sheet-stress signal for the promoter entity, typically preceding forced-sale/margin-call risk that can hit the share price independent of operating performance. Combined with a ~64% one-year market-cap decline, high debtor days (154) and flagged low interest coverage, this reads as a company under real financial stress even though it has not crossed into AVOID/EXCLUDE territory (no negative net worth or fraud finding).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red-flag caution short-circuits Step 4/6/7.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per red-flag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red flag.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HIGH CAUTION: ~78.5% of promoter holding is pledged - a severe distress signal - alongside high debtor days (~154), flagged low interest coverage, and a ~64% one-year market-cap decline.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generating real revenue (~Rs 258 Cr) and modest profit (~Rs 9.5 Cr) with a ~10.8% 3-yr average ROE - not an outright going-concern case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~78.5% promoter pledge is a severe distress signal, raising forced-sale/margin-call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down ~64.4% in one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debtors (~154 days) and flagged low interest coverage point to working-capital/liquidity stress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 source's bearish, high-conviction call is directionally corroborated by the pledge finding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Nano/micro-cap (~Rs 72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Small EPC contractor still generating revenue but with promoters having pledged ~78.5% of their holding - HIGH CAUTION, directionally consistent with the bearish X tip.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red_flag_tier HIGH CAUTION: severe promoter pledge (~78.5%) combined with high debtor days and a sharp market-cap decline - not yet AVOID/EXCLUDE (no negative net worth or fraud finding), but a serious distress signal.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Step 4/6/7 skipped per the red-flag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 with high confidence via screener.in and multiple sources under the RKEC ticker.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2026-09-15T15:17:12.914Z</dcterms:created>
  <dcterms:modified xsi:type="dcterms:W3CDTF">2026-09-15T15:17:12.914Z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