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Shipping Corporation of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PSU shipping company, cheap on P/E and mid-way through a large fleet-modernization program, but a stalled privatization and a decade of poor sales growth keep this a large-cap value/cyclical play, not a growth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SCI operates a diversified fleet (crude/product tankers, LPG carriers, bulk carriers, container ships, passenger vessels; 55+ vessels, 3.5m+ DWT) as India's largest government-owned shipping company. It has announced a ~$2.3bn domestic newbuild program (26 ships, ~1.18m GT, phased delivery) to modernize the fleet with dual-fuel (LNG-capable) vessels ahead of IMO 2030 carbon-intensity rules. Long-pending privatization appears stalled again - recent reports suggest the government may pause disinvestment given global shipping-route disruptions and a strategic desire to retain a state-owned fleet. Seeded 2026-09-13 via untrusted X triage (@r_laroia, high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13,369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52-week range</w:t>
            </w:r>
          </w:p>
        </w:tc>
        <w:tc>
          <w:tcPr>
            <w:tcW w:type="dxa" w:w="5800"/>
          </w:tcPr>
          <w:p>
            <w:r>
              <w:t xml:space="preserve">~Rs 287; range Rs 195 - Rs 369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~13.9%; ROE ~15.0%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~8.33x - cheap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5-year sales growth ~9.31% - described by screener as poor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Yield ~2.6%; payout ~21.9%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Contingent liabilities</w:t>
            </w:r>
          </w:p>
        </w:tc>
        <w:tc>
          <w:tcPr>
            <w:tcW w:type="dxa" w:w="5800"/>
          </w:tcPr>
          <w:p>
            <w:r>
              <w:t xml:space="preserve">~Rs 4,099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Cheap (P/E ~8.3x, decent ROE ~15%) but this is a commodity freight-rate business with a mediocre 9.31% 5-year sales growth track record. The one specific, named structural item found this pass is the ~$2.3bn/26-ship domestic newbuild and fleet-modernization program (dual-fuel, IMO-2030-compliant) - a genuine capacity/quality upgrade, but phased over several years and dependent on global tanker/bulk/LNG rate cycles playing out favourably. The long-running privatization story, which would have been the cleanest re-rating catalyst, appears to be paused again rather than progressing.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large-cap fast-triage lane skips technical/forum work by default.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large-cap fast-triage lane; write-up kept to fundamentals/filings only per the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found. Rs 4,099 Cr contingent liabilities noted (typical for a large shipping PSU with charter/legal exposures) but not flagged as a going-concern or fraud issue.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valuation (P/E ~8.3x) with a respectable ROE (~15%) for a PSU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Named structural inflection: ~$2.3bn, 26-ship domestic newbuild program modernizing the fleet with dual-fuel, IMO-2030-ready vessels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Dividend yield ~2.6% with a reasonable payout ratio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sales growth of only ~9.31% - screener itself flags this as poor for the sector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Privatization, the cleanest re-rating catalyst, appears stalled/paused again per recent reporting - reduces near-term catalyst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freight-rate business with no pricing moat; earnings are cyclical and rate-dependent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4,099 Cr contingent liabilities is a meaningful tail risk to monitor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13,369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yes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of tam:no overridden to 'weak' because a specific named structural inflection was found (~$2.3bn/26-ship domestic newbuild + IMO-2030 fleet modernization); but this is phased over years and rate-cycle-dependent, privatization (the cleaner catalyst) appears paused, and the business has no pricing moat - score stays in the 'neither' default band.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 PSU shipping major mid-way through a genuine ($2.3bn/26-ship) fleet-modernization program, but a stalled privatization and a mediocre growth track record keep this a value/cyclical holding, not a 10x/100x thesis.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fast-triage lane applied: default tam 'no' unless a specific named management/structural inflection is found. One was found (the ~$2.3bn/26-ship newbuild + IMO-2030 fleet-modernization program), so tam is scored 'weak' rather than a flat 'no' - but per the rule this still caps conviction at Low-Medium and does not warrant a forum deep-dive or a longer write-up.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weak - global shipping cycle plus the newbuild program, but 5-yr sales growth is poor; tam weak - the newbuild inflection is real but phased/multi-year and cyclical; moat no - commodity freight rates, PSU structure; valuation yes - P/E ~8.3x is cheap). Score sits in the 2.0-2.5 band, so 'neither' is the default and no explicit exception is written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the privatization pause is a catalyst-timing negative, not a fundamentals red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Kept to a fast, ~150-200 word style write-up per the large-cap rule - no forum/community deep-dive performed.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2026-09-15T15:18:22.773Z</dcterms:created>
  <dcterms:modified xsi:type="dcterms:W3CDTF">2026-09-15T15:18:22.773Z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