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Sigma Advanced Systems Ltd (formerly Megasoft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dormant telecom-software listed shell (Megasoft) reverse-merged into a private defence-electronics company in Jan-Feb 2026 - a fresh, unproven combined entity with wildly inconsistent reported ROE/ROCE figures across sources and high leverage. HIGH CAUTION - too new and opaque to underwrite.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Listed vehicle is a dormant telecom-software shell (Megasoft) reverse-merged (NCLT sanction Dec 2025, rename Feb 2026) into a private defence-electronics company, with ~10.25 Cr new shares issued to the private entity's shareholders. Reported ROE/ROCE vary wildly across sources (-25% to +90.6% ROE; 9.66% to 60.8% ROCE), reflecting an unproven, discontinuous track record; leverage is elevated (D/E ~111%) and the ~Rs 13,070 Cr market cap is rich against ~Rs 374 Cr quarterly revenue.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The listed entity trading as Sigma Advanced Systems Ltd was, until February 2026, Megasoft Limited - a near-dormant telecom software/outsourcing shell incorporated in 1999. In late 2024 Megasoft's board approved absorbing a privately held Hyderabad defence-electronics company (Sigma Advanced Systems Pvt Ltd, avionics/airborne hardware for India's defence establishment, plus a UK precision-engineering arm, Nasmyth) via a scheme of amalgamation. NCLT sanctioned the merger in December 2025; ~10.25 crore new shares were issued to the private company's shareholders (316 Megasoft shares per 100 Sigma shares) on January 2, 2026, and the listed entity was renamed with MCA/exchange approval by February 3, 2026. Seeded via untrusted X triage (@r_laroia +1, bullish,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13,070 Cr (as of Sept 8,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 / PAT</w:t>
            </w:r>
          </w:p>
        </w:tc>
        <w:tc>
          <w:tcPr>
            <w:tcW w:type="dxa" w:w="5800"/>
          </w:tcPr>
          <w:p>
            <w:r>
              <w:t xml:space="preserve">Rs 374.28 Cr / Rs 38.16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 (reported)</w:t>
            </w:r>
          </w:p>
        </w:tc>
        <w:tc>
          <w:tcPr>
            <w:tcW w:type="dxa" w:w="5800"/>
          </w:tcPr>
          <w:p>
            <w:r>
              <w:t xml:space="preserve">Wildly inconsistent across sources: ROE cited from -25% to 90.6%; ROCE cited from 9.66% to 60.8% - reflects the pre/post reverse-merger discontinuity, not a clean track 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~111% - elevated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~71.2%, no pledge disclosed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reverse-merger story less than eight months old at the time of this review: a dormant listed shell absorbed a private defence-electronics business, issuing a large block of new shares to the private company's erstwhile owners. The wide spread in reported ROE (-25% to +90.6%) and ROCE (9.66% to 60.8%) across data providers is a direct symptom of that discontinuity - there is no clean multi-year comparable track record for the combined entity yet, and a market cap of ~Rs 13,070 Cr against ~Rs 374 Cr quarterly revenue implies a very rich, story-driven valuation. Debt/equity of ~111% is also elevated for an early-stage combined entity.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HIGH CAUTION disposition skips technical/forum work.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pulled - red-flag fast disposition, no Step 7 forum read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(red-flag fast disposition).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fraud order or auditor resignation found, but the entity itself is a February 2026 rename/reverse-merger of a dormant shell (Megasoft) into a private defence company, with a large new share issuance (~10.25 Cr shares) to the private entity's shareholders just months before this review - a governance/opacity caution, not yet a clean, comparable listed track record.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30-year private operating history in avionics/airborne defence electronics now sits inside a listed vehicle, riding India's defence-indigenisation theme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UK precision-engineering arm (Nasmyth) gives a dual India-UK manufacturing footprint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pledge disclosed on the (now much-diluted) promoter holding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Reverse merger completed only ~8 months before this review (Jan-Feb 2026) - no clean, comparable multi-year financial history for the combined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ROE/ROCE vary enormously across data sources (-25% to +90.6% ROE) - a sign the numbers are not yet stable/comparable, not a data glitch to wave away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leverage (D/E ~111%) at a very early stage of the combined entity's life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13,070 Cr) is rich relative to current quarterly revenue (~Rs 374 Cr) - priced for a growth story that has not yet been demonstrated over a full year as the combined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Classic 'dormant shell renamed into a hot theme' pattern that warrants scepticism until at least a few clean quarters/one full annual report are available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Large/mid-cap by market value (~Rs 13,070 Cr) but sits on an unproven, ~8-month-old combined-entity track record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dormant listed shell (Megasoft) reverse-merged into a private defence-electronics company only months ago - genuinely interesting theme, but too new, too opaque (wildly inconsistent reported ROE/ROCE) and too richly valued relative to demonstrated combined-entity earnings to underwrite today. HIGH CAUTION.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fast disposition per Step 5: HIGH CAUTION category - the closest fit is a governance/opacity caution (recent reverse merger of a dormant shell with a private company, large new share issuance, and materially inconsistent reported return metrics across sources), which functions like a 'promoter-holding collapse'-style caution in that it signals the current numbers cannot yet be trusted as a clean base 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four_box and forum Step 7 skipped per the red-flag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re-visiting once at least 2-3 clean post-merger quarters and one full annual report are available to establish a real combined-entity track record.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2026-09-15T15:19:45.767Z</dcterms:created>
  <dcterms:modified xsi:type="dcterms:W3CDTF">2026-09-15T15:19:45.768Z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