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Sona BLW Precision Forgings Ltd (Sona Comstar)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auto-ancillary (differential gears, BSG systems, EV traction motors) with a genuine EV content-per-vehicle tailwind, but no specific NAMED management/structural inflection found this pass at a ~Rs 49,000 Cr market cap.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Sona BLW Precision Forgings (Sona Comstar) designs, manufactures and supplies engineered automotive systems - differential assemblies, gears, conventional and micro-hybrid motors, BSG systems and EV traction motors - across vehicle categories globally. Seeded via untrusted X triage (@PRATIKBULANI555, 2026-09-13, very-high conviction per the X source).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49,181 Cr (up ~84%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4,514 Cr; Profit ~Rs 746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~8.4x book value; Promoter holding ~28.0%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ROCE / ROE</w:t>
            </w:r>
          </w:p>
        </w:tc>
        <w:tc>
          <w:tcPr>
            <w:tcW w:type="dxa" w:w="5800"/>
          </w:tcPr>
          <w:p>
            <w:r>
              <w:t xml:space="preserve">Not independently re-verified this pass - not clearly surfaced in search results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Sona Comstar's thesis rests on rising EV content-per-vehicle (traction motors, BSG systems) as global EV mix grows - a real structural tailwind for the sector, but not itself a company-specific NAMED inflection (new CEO, regulatory shift, capital-allocation regime change) distinct from the well-known 'EV component supplier' narrative already priced into an ~84%-in-a-year re-rating and ~8.4x book valuation. Per the large-cap fast-lane rule, default tam:no applies absent a concrete named catalyst (e.g., a specific disclosed new order win or management change) verified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up ~84% over the last year - strong momentum, but valuation (8.4x book) has run well ahead of the base business.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large-cap-no-inflection fast-lane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(large-cap fast lane).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 (screener/web sources only).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EV content-per-vehicle structural tailwind (traction motors, BSG systems)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global auto-ancillary with diversified vehicle-category exposure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1-year price momentum (~+84%)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structural/management inflection confirmed this pass - large-cap fast-lane default applies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rich (~8.4x book) after a large 1-year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relatively low (~28%) - not itself a flag but worth monitoring alongside dilution/ESOP activity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49,000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Well-known EV-content auto-ancillary large-cap; genuine sector tailwind but no company-specific named inflection found this pass -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49,000 Cr) triggers the default tam:no fast-lane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 content-per-vehicle growth is a real sector tailwind but reads as 'good business' rather than a specific named inflection per this pass's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strong 1-year momentum and diversified auto-component base support Low-Medium (not just Low)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fast-lane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2026-09-15T15:09:12.914Z</dcterms:created>
  <dcterms:modified xsi:type="dcterms:W3CDTF">2026-09-15T15:09:12.914Z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