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Swan Defence and Heavy Industries Ltd (formerly Reliance Naval and Engineering Ltd)</w:t>
      </w:r>
    </w:p>
    <w:p>
      <w:pPr>
        <w:pBdr>
          <w:bottom w:val="single" w:color="CCCCCC" w:sz="6" w:space="8"/>
        </w:pBdr>
        <w:spacing w:after="200"/>
      </w:pPr>
      <w:r>
        <w:rPr>
          <w:i/>
          <w:iCs/>
          <w:color w:val="666666"/>
          <w:sz w:val="22"/>
          <w:szCs w:val="22"/>
        </w:rPr>
        <w:t xml:space="preserve">Pipavav shipyard/heavy-engineering asset that emerged from a multi-year insolvency process (NCLT resolution plan approved Dec 2022, new Swan Energy/Hazel Mercantile promoters took control Jan 2024, renamed Jan 2025, full creditor repayment completed March 2026) - a real defence/shipbuilding tailwind story, but still loss-making with extreme leverage.</w:t>
      </w:r>
    </w:p>
    <w:p>
      <w:pPr>
        <w:pStyle w:val="Heading1"/>
        <w:spacing w:after="120" w:before="280"/>
      </w:pPr>
      <w:r>
        <w:t xml:space="preserve">Business Overview</w:t>
      </w:r>
    </w:p>
    <w:p>
      <w:pPr>
        <w:spacing w:after="120"/>
      </w:pPr>
      <w:r>
        <w:t xml:space="preserve">Owns and operates one of India's largest integrated shipbuilding and heavy-engineering complexes at Pipavav, Gujarat - originally built by Reliance Naval &amp; Engineering (formerly Pipavav Defence), which went through Corporate Insolvency Resolution starting ~2020. Swan Energy Ltd's group (via Hazel Mercantile) won the NCLT-approved resolution bid (~Rs 2,100 Cr, Dec 2023/approved Dec 2022 plan), took management control Jan 2024, and renamed the entity Swan Defence and Heavy Industries (SDHI) in Jan 2025. All Committee-of-Creditors dues were fully repaid by March 2026 - the company is out of active CIRP. It is now positioned as a Make-in-India defence/commercial shipbuilding and offshore-heavy-engineering platform, riding the broader domestic naval/shipbuilding capex tailwind (alongside peers like GRSE, Cochin Shipyard, Mazagon Dock).</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12,800 Cr (varies ~10,400-13,900 Cr across recent quotes)</w:t>
            </w:r>
          </w:p>
        </w:tc>
      </w:tr>
      <w:tr>
        <w:tc>
          <w:tcPr>
            <w:tcW w:type="dxa" w:w="3200"/>
            <w:shd w:fill="F2F2F2" w:val="clear"/>
          </w:tcPr>
          <w:p>
            <w:r>
              <w:rPr>
                <w:b/>
                <w:bCs/>
              </w:rPr>
              <w:t xml:space="preserve">ROE (3-yr avg)</w:t>
            </w:r>
          </w:p>
        </w:tc>
        <w:tc>
          <w:tcPr>
            <w:tcW w:type="dxa" w:w="5800"/>
          </w:tcPr>
          <w:p>
            <w:r>
              <w:t xml:space="preserve">-48.9% (still working through post-resolution losses)</w:t>
            </w:r>
          </w:p>
        </w:tc>
      </w:tr>
      <w:tr>
        <w:tc>
          <w:tcPr>
            <w:tcW w:type="dxa" w:w="3200"/>
            <w:shd w:fill="F2F2F2" w:val="clear"/>
          </w:tcPr>
          <w:p>
            <w:r>
              <w:rPr>
                <w:b/>
                <w:bCs/>
              </w:rPr>
              <w:t xml:space="preserve">Revenue</w:t>
            </w:r>
          </w:p>
        </w:tc>
        <w:tc>
          <w:tcPr>
            <w:tcW w:type="dxa" w:w="5800"/>
          </w:tcPr>
          <w:p>
            <w:r>
              <w:t xml:space="preserve">Q4 FY26 sales ~Rs 236 Cr (reported +4712% YoY off a near-nil base); consolidated net loss ~Rs 142 Cr same quarter</w:t>
            </w:r>
          </w:p>
        </w:tc>
      </w:tr>
      <w:tr>
        <w:tc>
          <w:tcPr>
            <w:tcW w:type="dxa" w:w="3200"/>
            <w:shd w:fill="F2F2F2" w:val="clear"/>
          </w:tcPr>
          <w:p>
            <w:r>
              <w:rPr>
                <w:b/>
                <w:bCs/>
              </w:rPr>
              <w:t xml:space="preserve">Debt</w:t>
            </w:r>
          </w:p>
        </w:tc>
        <w:tc>
          <w:tcPr>
            <w:tcW w:type="dxa" w:w="5800"/>
          </w:tcPr>
          <w:p>
            <w:r>
              <w:t xml:space="preserve">Net debt ~Rs 2,436 Cr (Mar-26); debt/equity ~635% - very high leverage</w:t>
            </w:r>
          </w:p>
        </w:tc>
      </w:tr>
      <w:tr>
        <w:tc>
          <w:tcPr>
            <w:tcW w:type="dxa" w:w="3200"/>
            <w:shd w:fill="F2F2F2" w:val="clear"/>
          </w:tcPr>
          <w:p>
            <w:r>
              <w:rPr>
                <w:b/>
                <w:bCs/>
              </w:rPr>
              <w:t xml:space="preserve">Status</w:t>
            </w:r>
          </w:p>
        </w:tc>
        <w:tc>
          <w:tcPr>
            <w:tcW w:type="dxa" w:w="5800"/>
          </w:tcPr>
          <w:p>
            <w:r>
              <w:t xml:space="preserve">Resolution plan fully executed; full creditor repayment completed March 2026; no longer under CIRP</w:t>
            </w:r>
          </w:p>
        </w:tc>
      </w:tr>
    </w:tbl>
    <w:p>
      <w:pPr>
        <w:spacing w:after="100"/>
      </w:pPr>
    </w:p>
    <w:p>
      <w:pPr>
        <w:spacing w:after="120"/>
      </w:pPr>
      <w:r>
        <w:t xml:space="preserve">This is a post-insolvency turnaround, not a going-concern red flag anymore - the NCLT process concluded years ago, new promoters (Swan Energy group) have controlled and funded it since Jan 2024, and all creditor obligations were discharged by March 2026. That said, the balance sheet remains genuinely weak on a standalone basis: revenue is still ramping from a near-zero base, the company posted a large net loss as recently as the March 2026 quarter, ROE has averaged -48.9% over three years, and net debt-to-equity of ~635% is extreme even for a capital-intensive shipyard. The defence/shipbuilding sector tailwind (Atmanirbhar Bharat, naval modernisation) is real and shared with better-capitalised peers (GRSE, Cochin Shipyard, Mazagon Dock), but SDHI itself has not yet demonstrated a profitable, de-levered operating record post-resolution.</w:t>
      </w:r>
    </w:p>
    <w:p>
      <w:pPr>
        <w:pStyle w:val="Heading1"/>
        <w:spacing w:after="120" w:before="280"/>
      </w:pPr>
      <w:r>
        <w:t xml:space="preserve">Technical Read (Weekly / Monthly MACD + Bollinger Bands, or RSI/CCI/Williams %R proxy)</w:t>
      </w:r>
    </w:p>
    <w:p>
      <w:pPr>
        <w:spacing w:after="120"/>
      </w:pPr>
      <w:r>
        <w:t xml:space="preserve">Not pulled this pass - fast triage; the fundamental picture (loss-making, highly levered) is the binding constraint, not chart position.</w:t>
      </w:r>
    </w:p>
    <w:p>
      <w:pPr>
        <w:pStyle w:val="Heading1"/>
        <w:spacing w:after="120" w:before="280"/>
      </w:pPr>
      <w:r>
        <w:t xml:space="preserve">ValuePickr Community Signal</w:t>
      </w:r>
    </w:p>
    <w:p>
      <w:pPr>
        <w:spacing w:after="120"/>
      </w:pPr>
      <w:r>
        <w:t xml:space="preserve">No dedicated ValuePickr thread found for SDHI/Swan Defence itself. Adjacent forum coverage exists for parent Swan Energy Ltd (topic 148105) and shipbuilding/defence peers (NIBE topic 150190, GRSE topic 220753), but none is SDHI-specific.</w:t>
      </w:r>
    </w:p>
    <w:p>
      <w:pPr>
        <w:spacing w:after="120"/>
      </w:pPr>
      <w:r>
        <w:rPr>
          <w:b/>
          <w:bCs/>
          <w:sz w:val="20"/>
          <w:szCs w:val="20"/>
        </w:rPr>
        <w:t xml:space="preserve">High-conviction call from a top contributor: </w:t>
      </w:r>
      <w:r>
        <w:rPr>
          <w:sz w:val="20"/>
          <w:szCs w:val="20"/>
        </w:rPr>
        <w:t xml:space="preserve">None found - no dedicated thread; not deep-read given fast-triage scope and weak underlying fundamentals.</w:t>
      </w:r>
    </w:p>
    <w:p>
      <w:pPr>
        <w:pStyle w:val="Heading1"/>
        <w:spacing w:after="120" w:before="280"/>
      </w:pPr>
      <w:r>
        <w:t xml:space="preserve">BSE Corporate Actions / Other Red Flags</w:t>
      </w:r>
    </w:p>
    <w:p>
      <w:pPr>
        <w:spacing w:after="120"/>
      </w:pPr>
      <w:r>
        <w:t xml:space="preserve">No active SEBI/fraud flags found. Historical CIRP (2020-2022) is now fully resolved and closed (final creditor repayment March 2026) - not a live going-concern issue, but the post-resolution entity is still financially fragile.</w:t>
      </w:r>
    </w:p>
    <w:p>
      <w:pPr>
        <w:pStyle w:val="Heading1"/>
        <w:spacing w:after="120" w:before="280"/>
      </w:pPr>
      <w:r>
        <w:t xml:space="preserve">Bull Case</w:t>
      </w:r>
    </w:p>
    <w:p>
      <w:pPr>
        <w:pStyle w:val="ListParagraph"/>
        <w:numPr>
          <w:ilvl w:val="0"/>
          <w:numId w:val="1"/>
        </w:numPr>
        <w:spacing w:after="60"/>
      </w:pPr>
      <w:r>
        <w:t xml:space="preserve">Real defence/shipbuilding capex tailwind (Make in India, naval modernisation) shared with GRSE/Cochin Shipyard/Mazagon Dock</w:t>
      </w:r>
    </w:p>
    <w:p>
      <w:pPr>
        <w:pStyle w:val="ListParagraph"/>
        <w:numPr>
          <w:ilvl w:val="0"/>
          <w:numId w:val="1"/>
        </w:numPr>
        <w:spacing w:after="60"/>
      </w:pPr>
      <w:r>
        <w:t xml:space="preserve">Large, already-built Pipavav shipyard/heavy-engineering asset base acquired cheaply via the resolution process</w:t>
      </w:r>
    </w:p>
    <w:p>
      <w:pPr>
        <w:pStyle w:val="ListParagraph"/>
        <w:numPr>
          <w:ilvl w:val="0"/>
          <w:numId w:val="1"/>
        </w:numPr>
        <w:spacing w:after="60"/>
      </w:pPr>
      <w:r>
        <w:t xml:space="preserve">Insolvency fully resolved and closed (all CoC dues repaid March 2026) - removes the going-concern overhang that applied historically</w:t>
      </w:r>
    </w:p>
    <w:p>
      <w:pPr>
        <w:pStyle w:val="ListParagraph"/>
        <w:numPr>
          <w:ilvl w:val="0"/>
          <w:numId w:val="1"/>
        </w:numPr>
        <w:spacing w:after="60"/>
      </w:pPr>
      <w:r>
        <w:t xml:space="preserve">New promoter group (Swan Energy) has capital and stated intent to revive the asset</w:t>
      </w:r>
    </w:p>
    <w:p>
      <w:pPr>
        <w:pStyle w:val="Heading1"/>
        <w:spacing w:after="120" w:before="280"/>
      </w:pPr>
      <w:r>
        <w:t xml:space="preserve">Bear Case / Key Risks</w:t>
      </w:r>
    </w:p>
    <w:p>
      <w:pPr>
        <w:pStyle w:val="ListParagraph"/>
        <w:numPr>
          <w:ilvl w:val="0"/>
          <w:numId w:val="1"/>
        </w:numPr>
        <w:spacing w:after="60"/>
      </w:pPr>
      <w:r>
        <w:t xml:space="preserve">Still loss-making (net loss ~Rs 142 Cr in the March 2026 quarter) with no demonstrated sustained profitability yet</w:t>
      </w:r>
    </w:p>
    <w:p>
      <w:pPr>
        <w:pStyle w:val="ListParagraph"/>
        <w:numPr>
          <w:ilvl w:val="0"/>
          <w:numId w:val="1"/>
        </w:numPr>
        <w:spacing w:after="60"/>
      </w:pPr>
      <w:r>
        <w:t xml:space="preserve">Extreme leverage: net debt/equity ~635%, among the highest in the sector</w:t>
      </w:r>
    </w:p>
    <w:p>
      <w:pPr>
        <w:pStyle w:val="ListParagraph"/>
        <w:numPr>
          <w:ilvl w:val="0"/>
          <w:numId w:val="1"/>
        </w:numPr>
        <w:spacing w:after="60"/>
      </w:pPr>
      <w:r>
        <w:t xml:space="preserve">3-year average ROE of -48.9% - no established return-on-capital track record post-resolution</w:t>
      </w:r>
    </w:p>
    <w:p>
      <w:pPr>
        <w:pStyle w:val="ListParagraph"/>
        <w:numPr>
          <w:ilvl w:val="0"/>
          <w:numId w:val="1"/>
        </w:numPr>
        <w:spacing w:after="60"/>
      </w:pPr>
      <w:r>
        <w:t xml:space="preserve">Revenue base is still tiny/ramping (post-resolution restart), making growth percentages off a near-zero base unreliable</w:t>
      </w:r>
    </w:p>
    <w:p>
      <w:pPr>
        <w:pStyle w:val="ListParagraph"/>
        <w:numPr>
          <w:ilvl w:val="0"/>
          <w:numId w:val="1"/>
        </w:numPr>
        <w:spacing w:after="60"/>
      </w:pPr>
      <w:r>
        <w:t xml:space="preserve">No dedicated forum thread or independent community corroboration found</w:t>
      </w:r>
    </w:p>
    <w:p>
      <w:pPr>
        <w:pStyle w:val="Heading1"/>
        <w:spacing w:after="120" w:before="280"/>
      </w:pPr>
      <w:r>
        <w:t xml:space="preserve">Market-Cap Tier (informational — not a gate in this project)</w:t>
      </w:r>
    </w:p>
    <w:p>
      <w:pPr>
        <w:spacing w:after="120"/>
      </w:pPr>
      <w:r>
        <w:rPr>
          <w:b/>
          <w:bCs/>
        </w:rPr>
        <w:t xml:space="preserve">Mid-cap (~Rs 12,800 Cr), post-insolvency turnaround</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yes · moat: weak · valuation: no  (score 2 / 4)</w:t>
      </w:r>
    </w:p>
    <w:p>
      <w:pPr>
        <w:spacing w:after="120"/>
      </w:pPr>
      <w:r>
        <w:rPr>
          <w:i/>
          <w:iCs/>
          <w:color w:val="666666"/>
          <w:sz w:val="20"/>
          <w:szCs w:val="20"/>
        </w:rPr>
        <w:t xml:space="preserve">Defence/shipbuilding sector tailwind is real but SDHI-specific execution is unproven post-resolution; large domestic TAM; owns a large Pipavav shipyard asset but no demonstrated moat/competitive record yet; valuation not assessable given continued losses and ~635% net debt/equity.</w:t>
      </w:r>
    </w:p>
    <w:p>
      <w:pPr>
        <w:pStyle w:val="Heading1"/>
        <w:spacing w:after="120" w:before="280"/>
      </w:pPr>
      <w:r>
        <w:t xml:space="preserve">Verdict</w:t>
      </w:r>
    </w:p>
    <w:p>
      <w:pPr>
        <w:spacing w:after="120"/>
      </w:pPr>
      <w:r>
        <w:rPr>
          <w:b/>
          <w:bCs/>
          <w:sz w:val="24"/>
          <w:szCs w:val="24"/>
        </w:rPr>
        <w:t xml:space="preserve">Real Make-in-India shipbuilding/defence tailwind sitting on a still-loss-making, extremely levered post-insolvency balance sheet - thesis_fit 'neither', conviction Low pending a demonstrated profitable quarter.</w:t>
      </w:r>
    </w:p>
    <w:p>
      <w:pPr>
        <w:pStyle w:val="ListParagraph"/>
        <w:numPr>
          <w:ilvl w:val="0"/>
          <w:numId w:val="1"/>
        </w:numPr>
        <w:spacing w:after="60"/>
      </w:pPr>
      <w:r>
        <w:t xml:space="preserve">Entity confirmed: Swan Defence and Heavy Industries Ltd (NSE/BSE: SWANDEF), formerly Reliance Naval and Engineering, renamed Jan 2025 after NCLT-approved resolution (plan approved Dec 2022, new promoters since Jan 2024)</w:t>
      </w:r>
    </w:p>
    <w:p>
      <w:pPr>
        <w:pStyle w:val="ListParagraph"/>
        <w:numPr>
          <w:ilvl w:val="0"/>
          <w:numId w:val="1"/>
        </w:numPr>
        <w:spacing w:after="60"/>
      </w:pPr>
      <w:r>
        <w:t xml:space="preserve">four_box: tailwind weak (0.5, sector tailwind real but company execution unproven) + tam yes (1, large domestic shipbuilding/defence order pipeline) + moat weak (0.5, owns a large shipyard asset but no demonstrated competitive position yet) + valuation no (0, loss-making, cannot be valued on earnings, net debt/equity ~635%) = 2.0 -&gt; defaults 'neither' per the score 2.0-2.5 rule, no exception written</w:t>
      </w:r>
    </w:p>
    <w:p>
      <w:pPr>
        <w:pStyle w:val="ListParagraph"/>
        <w:numPr>
          <w:ilvl w:val="0"/>
          <w:numId w:val="1"/>
        </w:numPr>
        <w:spacing w:after="60"/>
      </w:pPr>
      <w:r>
        <w:t xml:space="preserve">No forum thread found; not deep-dived given weak fundamentals and fast-triage scope</w:t>
      </w:r>
    </w:p>
    <w:p>
      <w:pPr>
        <w:pStyle w:val="ListParagraph"/>
        <w:numPr>
          <w:ilvl w:val="0"/>
          <w:numId w:val="1"/>
        </w:numPr>
        <w:spacing w:after="60"/>
      </w:pPr>
      <w:r>
        <w:t xml:space="preserve">Not a hard AVOID/EXCLUDE (CIRP is fully closed, no active fraud/SEBI action) but fundamentals remain too weak for a constructive call - revisit once a clean profitable quarter is reported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2026-09-15T15:26:11.079Z</dcterms:created>
  <dcterms:modified xsi:type="dcterms:W3CDTF">2026-09-15T15:26:11.080Z</dcterms:modified>
</cp:coreProperties>
</file>

<file path=docProps/custom.xml><?xml version="1.0" encoding="utf-8"?>
<Properties xmlns="http://schemas.openxmlformats.org/officeDocument/2006/custom-properties" xmlns:vt="http://schemas.openxmlformats.org/officeDocument/2006/docPropsVTypes"/>
</file>