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Syngene International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High-pedigree CRO/CDMO that has under-delivered for years - flat-to-declining revenue, rich multiple and a just-completed management overhaul keep the turnaround unproven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Syngene, a Biocon subsidiary, is India's first listed integrated contract research and manufacturing (CRO/CDMO) organisation, serving global pharma and biotech across discovery, development and (increasingly) commercial manufacturing, with facilities including Bengaluru, Mangalore and a recently acquired US biologics site.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16,000+ Cr (large-cap)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~15% / ~10.7% (FY25, 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3,700 Cr FY25 (+3.8% YoY); 5-yr CAGR ~13%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guidance</w:t>
            </w:r>
          </w:p>
        </w:tc>
        <w:tc>
          <w:tcPr>
            <w:tcW w:type="dxa" w:w="5800"/>
          </w:tcPr>
          <w:p>
            <w:r>
              <w:t xml:space="preserve">revenue -3% to -5% (degrowth); FY27 guided flat, margin mid-20s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375 - 685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PE ~60x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Syngene has the pedigree (ethical promoter, marquee clients, scarcity as the first listed CRO) but the delivery has not matched it: revenue growth slowed to &lt;5% in FY25, FY26 guidance was cut to degrowth (-3/-5%) partly on one large molecule (Librela, a veterinary drug hit by FDA adverse-event notices), and FY27 is guided flat with margins only in the mid-20s. ROCE is still sub-15% and the stock trades at ~60x earnings. The Mangalore facility 'holds the key' and continues to struggle.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stock in the lower half of its 52-week range.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read of the most recent ~27 of 382 posts (Jan 2025 - Jul 2026). Sentiment is tired-to-negative. Long-time follower Chandragupta (36 likes on one post) documents opaque presentations, evasive concalls and 'nothing much has changed' under the new CEO; nav_1996 calls Biocon+Syngene 'the disappointment of the decade'. A bull (Akrit23, 14 likes) argues CDMO profit pools are always years out and ROCE will step from single digits to mid-20s 'when their time comes' - but that has been the pitch since 2019. In April 2026 the company did a full management overhaul: Kiran Mazumdar-Shaw as executive chairperson, a Biocon executive as MD &amp; CEO, plus new CHRO/CCO; the FY27 concall tone was more confident and CDMO-focused.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high-conviction buy. The most-liked recent posts are critical of management communication and execution.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2026-09-12 — unseenvalue (X)</w:t>
      </w:r>
      <w:r>
        <w:rPr>
          <w:i/>
          <w:iCs/>
          <w:color w:val="666666"/>
          <w:sz w:val="18"/>
          <w:szCs w:val="18"/>
        </w:rPr>
        <w:t xml:space="preserve"> (X / @unseenvalue)</w:t>
      </w:r>
      <w:r>
        <w:rPr>
          <w:sz w:val="20"/>
          <w:szCs w:val="20"/>
        </w:rPr>
        <w:br/>
        <w:t xml:space="preserve">: Public contrarian bull stance: "Sticking my neck out in public on #Syngene. I think the numbers will eventually speak louder than the narrative." (Note: same handle had made a bearish reply on Syngene hours earlier same day — mixed/evolving signal.)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CEO change (early 2025) and a broad management overhaul (Apr 2026). A participant in a clinical trial died (Jan 2025) - described by a forum doctor as 'part and parcel' of the business. No regulatory action against the company.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Scarcity asset: first listed Indian integrated CRO/CDMO, ethical promoter, 8 of the top 10 global pharma as clients, almost 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Fresh, heavyweight management team from April 2026 with an explicit shift toward higher-value CDMO (Q4 FY26 mix already 40/60 CDMO/CRO vs 1/3-2/3 historically)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capacity (Mangalore, Bengaluru, US biologics) is in place - operating leverage if utilisation comes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flat-to-declining for two years; FY26 guided to degrowth, FY27 to flat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~60x earnings with sub-15% ROCE and ~10% 5-yr EPS growth - valuation assumes a turnaround that has not started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CDMO 'profit pool is years away' thesis has been unfulfilled since 2019; management communication repeatedly criticised as opaque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base (~Rs 16,000 Cr) - a 10x needs a decade-long compounding story that the track record does not support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16,000+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no · TAM: no · moat: weak · valuation: weak  (score 1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Verdict explicit: recent trend is 'a negative inflection (degrowth guidance)' (tailwind=no) and 'this is a large-cap anyway' (tam=no); 'Syngene specifically has under-executed for years' despite a fine CRAMS/CDMO theme.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Pedigree without delivery - flat revenue, rich multiple and an unproven, just-reshuffled turnaround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(CRAMS/CDMO name, Biocon subsidiary, from the manual pharma list) - the theme is fine but Syngene specifically has under-executed for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Recent trend is a negative inflection (degrowth guidance), so the small/mid-cap 'recent improvement' exception does not apply and this is a large-cap anyway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tier; thesis fit 'neither'. Worth re-checking only after two or three quarters show the new management actually re-accelerating growth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2026-09-12T10:03:05.703Z</dcterms:created>
  <dcterms:modified xsi:type="dcterms:W3CDTF">2026-09-12T10:03:05.708Z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