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Tata Motors Commercial Vehicles Ltd (TMCV)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Freshly demerged (Oct 2025), India's #1 commercial-vehicle maker: net-cash balance sheet, exceptional ROCE, genuine named structural inflection (the demerger/focus itself) - but at a ~Rs 1.6 lakh Cr market cap this is not a 10x/100x candidate. thesis_fit 'neither', conviction Medium.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TMCV is the pure-play commercial-vehicle business demerged from Tata Motors, effective 1 October 2025 and listed on NSE/BSE on 12 November 2025 (1:1 share entitlement to erstwhile Tata Motors shareholders). It is India's market leader in commercial vehicles (trucks, buses) with a large dealer/service network and brand. The demerger itself - creating a focused, independently managed pure-play CV entity with its own capital allocation - is a genuine, named structural inflection, distinguishing this from a plain legacy large-cap. Seeded via X (@SanaSecurities +1 more, untrusted triage,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160,036 Cr (as of 2026-09-15)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 price / 52-week range</w:t>
            </w:r>
          </w:p>
        </w:tc>
        <w:tc>
          <w:tcPr>
            <w:tcW w:type="dxa" w:w="5800"/>
          </w:tcPr>
          <w:p>
            <w:r>
              <w:t xml:space="preserve">~Rs 436 (range Rs 306.30 - Rs 509.00)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~35-39% (FY26E per broker estimate); automotive-segment ROCE reported as high as ~68-72%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position (net debt/equity ~-0.5x)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~12.2% (Q2 FY26), EBIT margin ~9.8%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Corporate action</w:t>
            </w:r>
          </w:p>
        </w:tc>
        <w:tc>
          <w:tcPr>
            <w:tcW w:type="dxa" w:w="5800"/>
          </w:tcPr>
          <w:p>
            <w:r>
              <w:t xml:space="preserve">Demerger effective 2025-10-01; listed 2025-11-12; listed at ~26-28% premium to implied valuation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TMCV screens exceptionally well operationally - net cash, ROCE in the mid-to-high 30s (segment ROCE cited even higher), double-digit EBITDA margins - and the demerger is a real, dated, named structural event (not a vague thematic hope) intended to sharpen capital allocation and management focus versus the combined pre-demerger entity. However, at a ~Rs 1.6 lakh Cr market cap, and already up sharply from its listing debut, this is a best-in-class cyclical industrial compounder, not a plausible 10x-in-2-3-years or 100x-in-10-years vehicle regardless of how the four-box scores.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~Rs 436, roughly mid-range of its short 52-week trading history (Rs 306.30 low to Rs 509.00 high) since the November 2025 listing.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mega-cap, thesis_fit is 'neither' regardless of any inflection found, per triage rules (Step 7 skipped).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flags. The demerger and listing are the only material corporate actions and both are routine/completed (effective 2025-10-01, listed 2025-11-12).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dated, named structural inflection: demerger into a focused pure-play CV entity (effective Oct 2025) with independent capital allocation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balance sheet (net cash) and capital efficiency (ROCE ~35-39%, segment ROCE cited even higher) for an industrial/auto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#1 commercial-vehicle maker by scale, dealer network and brand, positioned for the domestic CV/infra-logistics upcycle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~Rs 1.6 lakh Cr mega-cap - no realistic path to a 10x/100x return regardless of operational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Commercial-vehicle demand is cyclical; the stock already listed at a 26-28% premium to implied valuation and has run within its post-listing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Limited independent multi-year track record as a standalone listed entity (listed less than a year)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160,036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Domestic CV/infra-logistics upcycle is a real but cyclical tailwind (weak); tam scored 'weak' (not the large-cap default 'no') given the genuine named structural inflection of the Oct 2025 demerger/focus; moat is strong (#1 CV maker, dealer network, brand - yes); valuation weak given the post-listing run and 26-28% listing-day premium already paid. Score 2.5 - would not clear 3.0 even with the inflection credit, and mega-cap size makes the label moot in any case.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Best-in-class net-cash, high-ROCE commercial-vehicle leader with a genuine named structural inflection (the Oct 2025 demerger), but mega-cap size rules out a 10x/100x label.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Unlike IGL/MGL/Bank of India, a real, dated, named structural inflection exists here (the demerger itself, effective 2025-10-01) - so tam is scored 'weak' rather than defaulted to 'no'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so, four_box score (2.5) does not clear the 3.0 label threshold, and mega-cap size (~Rs 1.6 lakh Cr) makes a literal 10x/100x thesis implausible regardless of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genuinely exceptional (net cash, ROCE ~35-39%) - conviction set to Medium (above the Low-Medium ceiling used for the other large-caps in this batch) to reflect that, while thesis_fit stays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given the mega-cap/'neither' disposition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2026-09-16T02:36:19.674Z</dcterms:created>
  <dcterms:modified xsi:type="dcterms:W3CDTF">2026-09-16T02:36:19.675Z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