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The Great Eastern Shipping Company Ltd (GE Shipping)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diversified crude/product tanker and dry-bulk shipping owner - cheap on P/E (~5.4x) with a clean, debt-free balance sheet and solid ROE/ROCE (~16%), but no named structural or management inflection found this pass, so it stays a fast large-cap 'neither' pass rather than a growth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GE Shipping owns and operates a diversified fleet of crude/product tankers and dry-bulk carriers, with earnings tied to global shipping day-rate cycles. Seeded via untrusted X triage (@bastionresearch, bullish, medium conviction, 2026-09-13). Large-cap (~Rs 20,000+ Cr) - per fast-triage rule, defaulting tam to 'no' absent a specific named management/structural inflection.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20,162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52-wk range</w:t>
            </w:r>
          </w:p>
        </w:tc>
        <w:tc>
          <w:tcPr>
            <w:tcW w:type="dxa" w:w="5800"/>
          </w:tcPr>
          <w:p>
            <w:r>
              <w:t xml:space="preserve">~Rs 1,412 / Rs 971 - Rs 1,798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~15.8% / ~15.9%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5-yr sales growth ~10.2%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Reduced, 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~5.38x; Book value ~Rs 1,188; Dividend yield ~2.49%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 Shipping is financially clean (debt-free, ROCE/ROE both ~16%) and cheap on a trailing P/E basis (~5.4x), but this reflects the market's standard cyclical discount for a shipping/day-rate business rather than a mispricing - 5-year revenue growth has been weak (~10.2%). No specific named management initiative, fleet-composition shift, or structural re-rating catalyst was identified this pass to justify treating this large-cap as a growth thesis.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roughly mid-range within its 52-week band (Rs 971-1,798); no further TA pulled (fast triage, large-cap fast-pass rule).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sought - large-cap fast-pass rule (no forum deep-dive without a named inflection).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- large-cap fast-pass rule.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trailing P/E (~5.4x) with a debt-free balance sheet and solid ROE/ROCE (~16%)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Dividend yield ~2.5% provides some income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fleet reduces single-segment day-rate exposure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or management inflection found this pass - the cheap valuation reflects standard cyclical/day-rate discounting, not a mispricing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5-year revenue growth (~10.2%)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Shipping earnings remain inherently cyclical and day-rate dependent, a poor fit for a large-cap growth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20,000+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yes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fast-pass: tam defaulted to 'no' absent a named inflection; cheap valuation and clean balance sheet noted but do not by themselves support a growth thesis.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debt-free, cyclical large-cap shipping owner with no named structural inflection found this pass - thesis_fit 'neither' by the large-cap fast-pass rule,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fast-pass rule applied: tam defaulted to 'no' absent a specific named management/structural inflection; none found in this pass's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the large-cap fast-pass rule; fast ~130-word write-up only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2026-09-16T02:48:48.151Z</dcterms:created>
  <dcterms:modified xsi:type="dcterms:W3CDTF">2026-09-16T02:48:48.152Z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