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Tribhovandas Bhimji Zaveri Ltd (TBZ) - the listed target of the GRT Jewellers acquisition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160-year-old Mumbai-origin jewellery retailer (33 stores) being acquired by private South-Indian jewellery group GRT for Rs 1,033 Cr (74.12% stake, ~Rs 209/share) plus a mandatory open offer - a credible new-owner turnaround story, but minority upside from here is largely capped by the deal/open-offer price mechanics.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TBZ is a 160-year-old, 5th-generation family jewellery retailer with ~33 stores (30 own + 3 franchisee) across 25 cities/12 states, historically strong in Maharashtra. GRT Jewellers India Pvt Ltd (a large, established private South-Indian jewellery group) has agreed an all-cash deal to acquire the promoters' entire 74.12% stake for up to Rs 1,033-1,034 Cr (~Rs 209/share), triggering a mandatory SEBI open offer for a further ~25.9% of TBZ's shares from public shareholders. Note: 'GRT Jewellers' itself is a private acquirer, not the listed entity - TBZ is the confirmed listed vehicle this research is actually about. Seeded via untrusted X triage (@SureshKBN,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3,500 Cr (post-announcement; ranged ~Rs 1,844-3,512 Cr across sources/dates)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110.50 - 430 (stock has rallied hard on deal news, up ~39% over two sessions)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~11.6-27% (source-dependent); ROCE ~23.3%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revenue / growth</w:t>
            </w:r>
          </w:p>
        </w:tc>
        <w:tc>
          <w:tcPr>
            <w:tcW w:type="dxa" w:w="5800"/>
          </w:tcPr>
          <w:p>
            <w:r>
              <w:t xml:space="preserve">Rs 2,625 Cr; +13.9% YoY revenue, +33.9% YoY profit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 (FY25)</w:t>
            </w:r>
          </w:p>
        </w:tc>
        <w:tc>
          <w:tcPr>
            <w:tcW w:type="dxa" w:w="5800"/>
          </w:tcPr>
          <w:p>
            <w:r>
              <w:t xml:space="preserve">Rs 667.7 Cr - no negative-net-worth or going-concern issue found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Deal terms</w:t>
            </w:r>
          </w:p>
        </w:tc>
        <w:tc>
          <w:tcPr>
            <w:tcW w:type="dxa" w:w="5800"/>
          </w:tcPr>
          <w:p>
            <w:r>
              <w:t xml:space="preserve">GRT to acquire 74.12% promoter stake for up to ~Rs 1,033-1,034 Cr (~Rs 209/share); mandatory open offer for ~25.9% (~1.73 Cr shares) to follow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TBZ's own operating trajectory was already improving before the deal (FY25 revenue +13.9%, profit +33.9%, ROCE ~23%, no debt/going-concern issues), and a well-capitalised strategic buyer (GRT, an established private South-Indian jewellery group) taking over 74% of the company is a credible catalyst for scaling distribution and brand investment. However, the open-offer mechanics mean near-term minority-shareholder upside is effectively anchored to the ~Rs 209/share deal price (plus any open-offer premium), and the stock has already run up sharply (~39% over two sessions, and toward/above prior 52-week highs) on the announcement - so most of the immediate re-rating from the acquisition news is likely already reflected in the price. A multi-year GRT-led turnaround thesis is plausible but speculative and not yet evidenced.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spiked to fresh highs (hit upper-circuit levels on both BSE and NSE) on the acquisition announcement - a clear event-driven repricing rather than a gradual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'Tribhovandas Bhimji Zaveri Ltd - TBZ' resolved via forum search (topic_id 365, category 11, 105 posts, active as recently as May 2026) but not deep-read this pass given the fast-triage budget - a fuller post-by-post read is recommended in a future pass given the live M&amp;A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(topic resolved but not deep-dived; fast-triage budget).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promoter-pledge, auditor-resignation, SEBI-fraud, or going-concern red flag found for TBZ. The only major event is the announced GRT acquisition (74.12% stake, ~Rs 1,033-1,034 Cr) and consequent mandatory open offer.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Credible, well-capitalised new majority owner (GRT, an established private jewellery group) replacing the founding family - a real turnaround/scale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TBZ's own pre-deal fundamentals were already improving (FY25 revenue +13.9%, profit +33.9%, ROCE ~23%)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160-year brand heritage and an existing 33-store multi-city footprint GRT can build 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Minority-shareholder upside from here is largely capped by the ~Rs 209/share deal price and open-offer mechanics - the easy re-rating already happened on announcement (stock up ~39% in two sessions, hitting upper circuits)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multi-year GRT-led scale-up thesis is plausible but entirely speculative at this stage - no post-acquisition operating plan or track record yet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jewellery retailer scale (33 stores) remains far behind Titan/Kalyan; moat is brand heritage only, not scale or cost advantage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 credible, well-capitalised new strategic owner (GRT) is a genuine tailwind, but TBZ's own scale/moat remains modest and the stock has already spiked to upper circuits on the announcement, capping near-term valuation upside near the open-offer price.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new-owner (GRT) turnaround catalyst for a legacy jewellery brand, but minority upside is largely capped by the deal/open-offer price and the stock has already rallied hard on the announcement - four_box score 2.0, defaults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resolved with confidence: TBZ (Tribhovandas Bhimji Zaveri Ltd, NSE/BSE-listed) is the actual investable vehicle behind the state.json name 'GRT Jewellers (re TBZ acquisition)' - GRT itself is a private acquirer, not separately listed.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organized jewellery-retail formalisation plus a credible new strategic owner; tam weak - GRT could scale TBZ's footprint, but unproven; moat weak - brand heritage only, no scale/cost moat vs Titan/Kalyan; valuation no - stock already spiked to upper circuits on the deal news, upside now anchored near the open-offer price).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2.0-2.5 default rule, no explicit growth exception written - the M&amp;A catalyst is real but the immediate re-rating has already happened and minority upside is mechanically capped near-term,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Medium (established brand, credible new owner, but capped near-term upside) rather than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2026-09-15T15:19:46.051Z</dcterms:created>
  <dcterms:modified xsi:type="dcterms:W3CDTF">2026-09-15T15:19:46.052Z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