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Trident Techlabs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 SME-listed engineering/design consultancy and electronics-tools trading business (FPGA/ASIC design, data analytics/AI, structural analysis) - decent ROE/ROCE but elevated leverage, very high debtor days and an -79% one-year stock decline argue against the bullish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Trident Techlabs Limited (ticker TECHLABS), founded 2000, New Delhi-based, listed on the NSE SME platform in December 2023. Operates a Trading Business (electronics/mechanical engineering design tools) and a Consultancy Business spanning FPGA design/validation, ASIC design and implementation, reliability/quality solutions, data analytics and AI, structural analysis, and PCB design-to-manufacture. Entity confirmed via NSE listing (symbol TECHLABS) matching state.json name 'Techlabs'.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204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105 - Rs 660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1-year return</w:t>
            </w:r>
          </w:p>
        </w:tc>
        <w:tc>
          <w:tcPr>
            <w:tcW w:type="dxa" w:w="5800"/>
          </w:tcPr>
          <w:p>
            <w:r>
              <w:t xml:space="preserve">-79.1% (sharp correction from 52-week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28.95% latest (3yr avg 20.38%)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28.34% latest (3yr avg 11.44%)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77 Cr; FY26 revenue Rs 97.2 Cr, +26.98%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1.19 latest (3yr avg 1.88) - elevated for the business size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~216 days - working-capital concern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ROCE/ROE look strong (28-29%) and revenue grew ~27% in FY26, but the balance sheet carries meaningfully more debt (D/E ~1.2x) than is typical for an asset-light design/consultancy + trading business, and debtor days of ~216 signal weak collection/bargaining power over customers. The stock has fallen ~79% from its 52-week high of Rs 660 to the Rs 105-660 range, a decline consistent with the bearish X view flagged in the seed note rather than contradicting 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Deep correction from 52-week high (Rs 660) toward the 52-week low (Rs 105); no separate TA pulled given the fast-lane disposition below.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four_box score did not clear the bar for a promising-candidate deep dive (score 1.5, hard 'neither' per rubric). No ValuePickr topic_id resolved (state.json topic_id null).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criteria found this pass (no negative net worth, no SEBI/fraud action, no promoter-pledge collapse or auditor resignation surfaced in the searches run). Elevated debt and very high debtor days are noted as bear-case items, not red-flag triggers.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both ~28-29%, and FY26 revenue grew ~27%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technical consultancy exposure (FPGA/ASIC design, data analytics/AI, structural analysis) rides broader engineering-design-services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~1.19x is high for an SME consultancy/trading business of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~216 suggest weak collection discipline / customer leverage over the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~79% from its 52-week high - momentum has clearly broken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small, thinly documented SME-platform listing (Dec 2023 IPO) with limited independent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(@ChintanParikh10) itself flagged a bearish view, which the fundamentals here do not contradict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204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engineering-design-services tailwind (not a named structural inflection); modest revenue base (~Rs 77 Cr TTM) limits tam; trading+consultancy mix with 216-day debtors signals no real moat/pricing power; valuation ambiguous post -79% correction but elevated D/E and debtor quality temper it to weak, not yes.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Trident Techlabs Ltd (NSE:TECHLABS). Decent ROE/ROCE offset by elevated leverage, very high debtor days, and a -79% one-year stock decline - four_box score 1.5 is a hard 'neither'.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resolution: NSE listing confirms 'Trident Techlabs Limited' (symbol TECHLABS) as the match for state.json name 'Techlabs' - single unambiguous candidate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under the defined criteria (no negative net worth/going concern, no active SEBI/fraud action, no promoter-pledge collapse, no auditor resignation surfaced).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weak, tam weak, moat no, valuation weak) - score&lt;=1.5 forces thesis_fit 'neither' hard,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Skipped forum/topic_id resolution - score did not clear the 'genuinely promising' bar for a light forum check under tight batch budget.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2026-09-13T06:25:22.202Z</dcterms:created>
  <dcterms:modified xsi:type="dcterms:W3CDTF">2026-09-13T06:25:22.203Z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