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4E5F"/>
          <w:sz w:val="44"/>
          <w:szCs w:val="44"/>
        </w:rPr>
        <w:t xml:space="preserve">Univastu India Ltd</w:t>
      </w:r>
    </w:p>
    <w:p>
      <w:pPr>
        <w:pBdr>
          <w:bottom w:val="single" w:color="CCCCCC" w:sz="6" w:space="8"/>
        </w:pBdr>
        <w:spacing w:after="200"/>
      </w:pPr>
      <w:r>
        <w:rPr>
          <w:i/>
          <w:iCs/>
          <w:color w:val="666666"/>
          <w:sz w:val="22"/>
          <w:szCs w:val="22"/>
        </w:rPr>
        <w:t xml:space="preserve">Small-cap construction/engineering (EPC-type) company with decent growth (~27%/yr) and a cheap P/E (~12x), but low-moat EPC economics and sharply worsening debtor days (58 -&gt; 121) temper the case.</w:t>
      </w:r>
    </w:p>
    <w:p>
      <w:pPr>
        <w:pStyle w:val="Heading1"/>
        <w:spacing w:after="120" w:before="280"/>
      </w:pPr>
      <w:r>
        <w:t xml:space="preserve">Business Overview</w:t>
      </w:r>
    </w:p>
    <w:p>
      <w:pPr>
        <w:spacing w:after="120"/>
      </w:pPr>
      <w:r>
        <w:t xml:space="preserve">Univastu India Ltd operates in the construction &amp; engineering (EPC-type) space. Revenues have grown at an average ~26.8%/year, with ROE ~19.3% and net margins ~7.4%, but debtor days have roughly doubled (58.4 -&gt; 121), a working-capital caution flag for a contracting-type business. Seeded 2026-09-13 via untrusted X triage (@rishithegreat41, high conviction claimed).</w:t>
      </w:r>
    </w:p>
    <w:p>
      <w:pPr>
        <w:pStyle w:val="Heading1"/>
        <w:spacing w:after="120" w:before="280"/>
      </w:pPr>
      <w:r>
        <w:t xml:space="preserve">Fundamentals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Market cap</w:t>
            </w:r>
          </w:p>
        </w:tc>
        <w:tc>
          <w:tcPr>
            <w:tcW w:type="dxa" w:w="5800"/>
          </w:tcPr>
          <w:p>
            <w:r>
              <w:t xml:space="preserve">~Rs 611 Cr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52-week range</w:t>
            </w:r>
          </w:p>
        </w:tc>
        <w:tc>
          <w:tcPr>
            <w:tcW w:type="dxa" w:w="5800"/>
          </w:tcPr>
          <w:p>
            <w:r>
              <w:t xml:space="preserve">~Rs 56 - Rs 179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ROE</w:t>
            </w:r>
          </w:p>
        </w:tc>
        <w:tc>
          <w:tcPr>
            <w:tcW w:type="dxa" w:w="5800"/>
          </w:tcPr>
          <w:p>
            <w:r>
              <w:t xml:space="preserve">~19.3%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P/E</w:t>
            </w:r>
          </w:p>
        </w:tc>
        <w:tc>
          <w:tcPr>
            <w:tcW w:type="dxa" w:w="5800"/>
          </w:tcPr>
          <w:p>
            <w:r>
              <w:t xml:space="preserve">~12.0x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Revenue growth</w:t>
            </w:r>
          </w:p>
        </w:tc>
        <w:tc>
          <w:tcPr>
            <w:tcW w:type="dxa" w:w="5800"/>
          </w:tcPr>
          <w:p>
            <w:r>
              <w:t xml:space="preserve">~26.8%/year average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Net margin</w:t>
            </w:r>
          </w:p>
        </w:tc>
        <w:tc>
          <w:tcPr>
            <w:tcW w:type="dxa" w:w="5800"/>
          </w:tcPr>
          <w:p>
            <w:r>
              <w:t xml:space="preserve">~7.4%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Working capital</w:t>
            </w:r>
          </w:p>
        </w:tc>
        <w:tc>
          <w:tcPr>
            <w:tcW w:type="dxa" w:w="5800"/>
          </w:tcPr>
          <w:p>
            <w:r>
              <w:t xml:space="preserve">Debtor days worsened from ~58.4 to ~121</w:t>
            </w:r>
          </w:p>
        </w:tc>
      </w:tr>
    </w:tbl>
    <w:p>
      <w:pPr>
        <w:spacing w:after="100"/>
      </w:pPr>
    </w:p>
    <w:p>
      <w:pPr>
        <w:spacing w:after="120"/>
      </w:pPr>
      <w:r>
        <w:t xml:space="preserve">The growth (~27%/yr) and valuation (~12x P/E, ~19% ROE) combination looks statistically cheap for the growth rate. But construction/EPC-type businesses are typically low-moat and working-capital intensive, and the near-doubling of debtor days (58 -&gt; 121) is a real caution: it suggests either slower client payment cycles, revenue recognition running ahead of cash collection, or increasing exposure to weaker-paying clients - any of which can turn a 'cheap growth' story into a cash-flow problem. Not a red flag on its own (no going-concern, fraud, or promoter-pledge signal found), but enough to keep this from a straightforward growth-compounder label.</w:t>
      </w:r>
    </w:p>
    <w:p>
      <w:pPr>
        <w:pStyle w:val="Heading1"/>
        <w:spacing w:after="120" w:before="280"/>
      </w:pPr>
      <w:r>
        <w:t xml:space="preserve">Technical Read (Weekly / Monthly MACD + Bollinger Bands, or RSI/CCI/Williams %R proxy)</w:t>
      </w:r>
    </w:p>
    <w:p>
      <w:pPr>
        <w:spacing w:after="120"/>
      </w:pPr>
      <w:r>
        <w:t xml:space="preserve">Not pulled in detail - fundamentals/thesis-driven verdict; trades well off its 52-week high (~Rs 179 vs current levels), wide range vs the ~Rs 56 low.</w:t>
      </w:r>
    </w:p>
    <w:p>
      <w:pPr>
        <w:pStyle w:val="Heading1"/>
        <w:spacing w:after="120" w:before="280"/>
      </w:pPr>
      <w:r>
        <w:t xml:space="preserve">ValuePickr Community Signal</w:t>
      </w:r>
    </w:p>
    <w:p>
      <w:pPr>
        <w:spacing w:after="120"/>
      </w:pPr>
      <w:r>
        <w:t xml:space="preserve">No dedicated ValuePickr thread found for Univastu India. Search returned only an incidental 2017-era mention in a general watchlist thread ('A super simple way to find good companies', topic_id 8809) with a stale price quote, and an unrelated current thread (Vivid Electromech) - neither is a genuine coverage match. No deep-dive performed; web/filings-based write-up only.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High-conviction call from a top contributor: </w:t>
      </w:r>
      <w:r>
        <w:rPr>
          <w:sz w:val="20"/>
          <w:szCs w:val="20"/>
        </w:rPr>
        <w:t xml:space="preserve">None found - no trusted or forum conviction signal on this name.</w:t>
      </w:r>
    </w:p>
    <w:p>
      <w:pPr>
        <w:pStyle w:val="Heading1"/>
        <w:spacing w:after="120" w:before="280"/>
      </w:pPr>
      <w:r>
        <w:t xml:space="preserve">BSE Corporate Actions / Other Red Flags</w:t>
      </w:r>
    </w:p>
    <w:p>
      <w:pPr>
        <w:spacing w:after="120"/>
      </w:pPr>
      <w:r>
        <w:t xml:space="preserve">No SEBI/fraud/going-concern flags found this pass. The worsening debtor-days trend is a working-capital caution, not a red-flag-tier issue.</w:t>
      </w:r>
    </w:p>
    <w:p>
      <w:pPr>
        <w:pStyle w:val="Heading1"/>
        <w:spacing w:after="120" w:before="280"/>
      </w:pPr>
      <w:r>
        <w:t xml:space="preserve">Bull Case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Revenue growing ~27%/year on average - a real growth business, not a stagnant EPC name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Statistically cheap for the growth rate: ~12x P/E against ~19.3% ROE and ~27% growth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Small market cap (~Rs 611 Cr) leaves room to re-rate if growth and working capital both hold up</w:t>
      </w:r>
    </w:p>
    <w:p>
      <w:pPr>
        <w:pStyle w:val="Heading1"/>
        <w:spacing w:after="120" w:before="280"/>
      </w:pPr>
      <w:r>
        <w:t xml:space="preserve">Bear Case / Key Risks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Debtor days have roughly doubled (58.4 -&gt; 121) - a real working-capital deterioration signal for a contracting-type business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EPC/construction economics are typically low-moat and competitively bid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 forum or trusted conviction signal found to corroborate the thesis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 ROCE figure confirmed this pass to cross-check capital efficiency</w:t>
      </w:r>
    </w:p>
    <w:p>
      <w:pPr>
        <w:pStyle w:val="Heading1"/>
        <w:spacing w:after="120" w:before="280"/>
      </w:pPr>
      <w:r>
        <w:t xml:space="preserve">Market-Cap Tier (informational — not a gate in this project)</w:t>
      </w:r>
    </w:p>
    <w:p>
      <w:pPr>
        <w:spacing w:after="120"/>
      </w:pPr>
      <w:r>
        <w:rPr>
          <w:b/>
          <w:bCs/>
        </w:rPr>
        <w:t xml:space="preserve">Small-cap (~Rs 611 Cr)</w:t>
      </w:r>
    </w:p>
    <w:p>
      <w:pPr>
        <w:pStyle w:val="Heading1"/>
        <w:spacing w:after="120" w:before="280"/>
      </w:pPr>
      <w:r>
        <w:t xml:space="preserve">Thesis Fit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neither</w:t>
      </w:r>
    </w:p>
    <w:p>
      <w:pPr>
        <w:spacing w:after="120"/>
      </w:pPr>
      <w:r>
        <w:rPr>
          <w:color w:val="666666"/>
          <w:sz w:val="20"/>
          <w:szCs w:val="20"/>
        </w:rPr>
        <w:t xml:space="preserve">4-box gate — tailwind: yes · TAM: weak · moat: no · valuation: yes  (score 2.5 / 4)</w:t>
      </w:r>
    </w:p>
    <w:p>
      <w:pPr>
        <w:spacing w:after="120"/>
      </w:pPr>
      <w:r>
        <w:rPr>
          <w:i/>
          <w:iCs/>
          <w:color w:val="666666"/>
          <w:sz w:val="20"/>
          <w:szCs w:val="20"/>
        </w:rPr>
        <w:t xml:space="preserve">Infra/construction capex tailwind and cheap valuation (~12x P/E) for ~27% growth, but EPC-type moat is weak/absent and worsening debtor days (58-&gt;121) argue against an exception at this score band.</w:t>
      </w:r>
    </w:p>
    <w:p>
      <w:pPr>
        <w:pStyle w:val="Heading1"/>
        <w:spacing w:after="120" w:before="280"/>
      </w:pPr>
      <w:r>
        <w:t xml:space="preserve">Verdict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Cheap-looking (~12x P/E) construction/engineering grower (~27%/yr, ~19% ROE), but low EPC moat and sharply worsening debtor days (58-&gt;121) keep this at 'neither' rather than a growth-compounder label.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four_box score 2.5 (tailwind yes - infra/construction capex cycle; tam weak - growth is real but sector-generic; moat no - EPC/construction is low-differentiation, competitively bid; valuation yes - ~12x P/E is cheap for ~27% growth) falls in the 2.0-2.5 band, which defaults to 'neither' absent an explicit exception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 exception written: the doubling of debtor days (58-&gt;121) is exactly the kind of quality caution that argues against overriding the default here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 red flag found (not AVOID/EXCLUDE/HIGH CAUTION tier), so this is a valuation/quality judgment call, not a filter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 dedicated ValuePickr thread resolved (only stale/incidental mentions found); topic_id remains null</w:t>
      </w:r>
    </w:p>
    <w:p>
      <w:pPr>
        <w:pBdr>
          <w:top w:val="single" w:color="CCCCCC" w:sz="6" w:space="8"/>
        </w:pBdr>
        <w:spacing w:before="300"/>
      </w:pPr>
      <w:r>
        <w:rPr>
          <w:i/>
          <w:iCs/>
          <w:color w:val="666666"/>
          <w:sz w:val="18"/>
          <w:szCs w:val="18"/>
        </w:rPr>
        <w:t xml:space="preserve">This is independent research and analysis for informational purposes only, not personalized financial or investment advice. Past multi-bagger performance and forum/social sentiment are not indicators of future returns. Do your own due diligence before investing.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2026-09-13T06:26:04.755Z</dcterms:created>
  <dcterms:modified xsi:type="dcterms:W3CDTF">2026-09-13T06:26:04.756Z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