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Vodafone Idea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third telecom operator with confirmed negative net worth (book value ~-Rs 15/share) and a debt-to-EBITDA of ~13.5x despite FY26 AGR relief and an accounting-driven headline profit - a legitimate AVOID red flag, not a fabricated one.</w:t>
      </w:r>
    </w:p>
    <w:p>
      <w:pPr>
        <w:shd w:fill="FFF0F0" w:val="clear"/>
        <w:spacing w:after="200"/>
      </w:pPr>
      <w:r>
        <w:rPr>
          <w:b/>
          <w:bCs/>
          <w:color w:val="A32020"/>
          <w:sz w:val="22"/>
          <w:szCs w:val="22"/>
        </w:rPr>
        <w:t xml:space="preserve">RED FLAG TIER: AVOID — </w:t>
      </w:r>
      <w:r>
        <w:rPr>
          <w:sz w:val="20"/>
          <w:szCs w:val="20"/>
        </w:rPr>
        <w:t xml:space="preserve">Negative net worth (book value ~-Rs 15.03/share, accumulated losses &gt;Rs 1.78 lakh Cr); debt-to-EBITDA ~13.5x; interest coverage ~0.54x (operating profit covers only ~54% of interest). FY26 headline profit driven by a one-off non-cash AGR remeasurement gain, not operating profitability.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Pan-India mobile telecom operator (Vodafone Idea / 'Vi'). FY26 AGR liability was finalized by DoT at Rs 64,046 Cr, down from a much larger provisional figure, producing a large one-off accounting gain (Ind AS 109 remeasurement, ~Rs 55,622 Cr) and a headline FY26 net profit of ~Rs 34,482 Cr - but this is a non-cash exceptional item, not operating cash generation. Seeded via untrusted X triage (@mystockedge,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1,59,914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worth / book value</w:t>
            </w:r>
          </w:p>
        </w:tc>
        <w:tc>
          <w:tcPr>
            <w:tcW w:type="dxa" w:w="5800"/>
          </w:tcPr>
          <w:p>
            <w:r>
              <w:t xml:space="preserve">Negative - book value ~-Rs 15.03/share; accumulated losses exceeding ~Rs 1.78 lakh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Debt-to-EBITDA</w:t>
            </w:r>
          </w:p>
        </w:tc>
        <w:tc>
          <w:tcPr>
            <w:tcW w:type="dxa" w:w="5800"/>
          </w:tcPr>
          <w:p>
            <w:r>
              <w:t xml:space="preserve">~13.51x - alarmingly high for a capital-intensive telecom operator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Interest coverage</w:t>
            </w:r>
          </w:p>
        </w:tc>
        <w:tc>
          <w:tcPr>
            <w:tcW w:type="dxa" w:w="5800"/>
          </w:tcPr>
          <w:p>
            <w:r>
              <w:t xml:space="preserve">~0.54x average recent periods - operating profit covers only ~54% of interest obligations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 / EBITDA</w:t>
            </w:r>
          </w:p>
        </w:tc>
        <w:tc>
          <w:tcPr>
            <w:tcW w:type="dxa" w:w="5800"/>
          </w:tcPr>
          <w:p>
            <w:r>
              <w:t xml:space="preserve">Revenue ~Rs 44,782 Cr (+2.8% YoY); EBITDA ~Rs 19,003 Cr, margin ~43.1%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Bank debt</w:t>
            </w:r>
          </w:p>
        </w:tc>
        <w:tc>
          <w:tcPr>
            <w:tcW w:type="dxa" w:w="5800"/>
          </w:tcPr>
          <w:p>
            <w:r>
              <w:t xml:space="preserve">Reduced to ~Rs 726 Cr (from ~Rs 2,326 Cr) as of 31 March 2026 - promoter/govt-backed refinancing, not organic deleveraging of the full liability stack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AGR relief (liability finalized at Rs 64,046 Cr) and fresh promoter-led capital infusion are genuine positives that triggered the recent rally and 52-week-high price action, but they do not resolve the core balance-sheet problem: net worth remains negative (book value ~-Rs 15/share), overall debt-to-EBITDA is ~13.5x, and interest coverage of ~0.54x means operating profit still does not cover interest obligations. The FY26 'net profit' of Rs 34,482 Cr is dominated by a one-off non-cash AGR remeasurement gain, not sustainable operating profitability.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Recently hit a 52-week high (~Rs 13.64) on AGR-relief and funding optimism - price momentum reflects sentiment/relief-rally dynamics, not underlying balance-sheet health.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sought this pass - red flag (AVOID) per project rule; Step 4 forum deep-dive skipped.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- red flag.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AVOID. Negative net worth (book value ~-Rs 15.03/share); debt-to-EBITDA ~13.5x; interest coverage ~0.54x. AGR liability finalized at Rs 64,046 Cr (relief vs prior provisional figure) and fresh promoter capital infusion are real positives but do not resolve the negative-net-worth / going-concern-adjacent profile - this is a genuine, current-data-based red flag, not an inferred one from a dramatic-sounding corporate action.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AGR liability finalized at Rs 64,046 Cr - meaningful relief from the prior provisional figure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Fresh promoter-led capital infusion and bank-debt reduction (Rs 2,326 Cr -&gt; Rs 726 Cr) improve near-term liquidity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improving (43.1% FY26 vs 41.6% FY25) on tariff hikes and subscriber-mix stabilization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worth remains negative - book value ~-Rs 15.03/share, accumulated losses over Rs 1.78 lakh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Debt-to-EBITDA ~13.5x - would take over 13 years of current EBITDA to repay existing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Interest coverage ~0.54x - operating profit does not cover interest obligations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headline profit is dominated by a one-off non-cash AGR accounting gain, not operating cash generation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1,59,914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Confirmed negative net worth (book value ~-Rs 15/share) and ~13.5x debt-to-EBITDA despite AGR relief and a promoter capital infusion - a legitimate AVOID red flag based on current, verified figures.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red_flag_tier AVOID: negative net worth (book value ~-Rs 15.03/share) confirmed via current FY26 data, plus debt-to-EBITDA ~13.5x and interest coverage ~0.54x - a real, verified distress profile, not inferred from a dramatic corporate-action name.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'neither', conviction Low, Step 4 skipped per the red-flag rule; four_box exercise skipped (red flag).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AGR relief (liability finalized at Rs 64,046 Cr) and promoter capital infusion are genuine positives driving the current rally, but they are relief from a worse position, not resolution of the underlying negative-net-worth / high-leverage profile.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2026-09-16T02:49:41.996Z</dcterms:created>
  <dcterms:modified xsi:type="dcterms:W3CDTF">2026-09-16T02:49:41.997Z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