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Asian Energy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Small/mid-cap oilfield-services provider (formerly Asian Oilfield Services) with decent returns (16.5% ROCE) but a rich ~40x P/E, declining promoter holding and stretched receivables (160 debtor days).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Asian Energy Services Ltd (NSE/BSE: ASIANENE, formerly Asian Oilfield Services) operates in the Oil Equipment &amp; Services sector, providing oilfield/drilling-related services to E&amp;P operators. Entity confirmed via screener.in (ticker ASIANENE) and forum cross-check (legacy 'asian-oilfields' thread). Seeded 2026-09-13 via untrusted X triage (@rishithegreat41 + 2 more, medium conviction).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2,598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CMP / 52-week range</w:t>
            </w:r>
          </w:p>
        </w:tc>
        <w:tc>
          <w:tcPr>
            <w:tcW w:type="dxa" w:w="5800"/>
          </w:tcPr>
          <w:p>
            <w:r>
              <w:t xml:space="preserve">~Rs 534 (range ~Rs 230 - Rs 566)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16.5% / 12.9%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Book value</w:t>
            </w:r>
          </w:p>
        </w:tc>
        <w:tc>
          <w:tcPr>
            <w:tcW w:type="dxa" w:w="5800"/>
          </w:tcPr>
          <w:p>
            <w:r>
              <w:t xml:space="preserve">~40.2x / ~Rs 110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Median ~46.7% over 10 years (volatile, project-based)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Decreased ~4.6 percentage points last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High debtor days (~160)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respectable but not exceptional (ROCE 16.5%, ROE 12.9%) for a ~40x trailing P/E - the market is pricing in continued growth from the global/India oilfield-services up-cycle rather than current profitability. Long-run revenue growth (10-year median ~46.7%) reflects the lumpy, project/tender-driven nature of oilfield services rather than a smooth compounding trend. Two caution flags surfaced this pass: promoter holding fell by ~4.6 percentage points in the latest quarter, and debtor days are high (~160), suggesting working-capital strain typical of tender-based E&amp;P service contracts. Neither rises to a red-flag tier (no negative net worth, no SEBI action, no auditor resignation) but both temper conviction.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CMP ~Rs 534 sits near the top of its 52-week range (Rs 230-566), i.e. a large run-up (&gt;2x off the low) already priced in - not pulled in further depth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ValuePickr forum search resolved a likely legacy match: topic_id 9164, slug 'asian-oilfields' (pre-rename thread), category_id 11. Not deep-read this pass per fast-triage budget - flag for later confirmation that this thread is current/active before relying on it.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External lead only (@rishithegreat41 + 2 more, untrusted X triage, medium conviction) - forum thread exists under the legacy name but was not read for corroboration.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AVOID/EXCLUDE-tier red flags found (no negative net worth, no SEBI/fraud action, no auditor resignation). Two caution items noted in bear case (promoter-holding decline, high debtor days) - not escalated to red_flag_tier as neither is a 'collapse' or filing-confirmed issue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and India oilfield-services activity is in an up-cycle, supporting order flow for drilling/E&amp;P service providers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Decent capital efficiency (ROCE 16.5%) for a project-based services business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ValuePickr thread exists (topic_id 9164) for future deep-dive if warranted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Rich valuation: ~40.2x trailing P/E against 12.9% ROE - growth needs to accelerate materially to justify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declined ~4.6 percentage points in the latest quarter - a caution flag worth monitoring, though not confirmed as a 'collapse'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(~160) signal working-capital stress typical of tender-based E&amp;P contracts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growth is lumpy/project-driven (10-yr median ~46.7%) rather than a smooth compounding trend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CMP already near the top of its 52-week range - much of the up-cycle optimism appears priced 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Moat is weak: oilfield services in India are largely tender/commodity-priced with limited differentiation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2,598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Real global/India oilfield-services up-cycle tailwind (yes); India oilfield-services TAM is real but not confirmed as structurally large this pass (weak); moat weak given tender/commodity-priced services (weak); ~40x P/E against 12.9% ROE plus declining promoter holding and high debtor days argue valuation no.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 returns and a real oilfield-services up-cycle tailwind, but a rich ~40x P/E, declining promoter holding and stretched receivables keep this at 'neither' rather than a growth-thesis call.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yes, tam weak, moat weak, valuation no) falls at the bottom of the 2.0-2.5 band, which defaults to 'neither' without an explicit exception; the promoter-holding decline and high debtor days argue against writing 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AVOID/EXCLUDE/HIGH-CAUTION red flag found, but promoter-holding decline (~4.6pp QoQ) and high debtor days (~160) are logged as bear-case caution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ValuePickr thread resolved (topic_id 9164, slug asian-oilfields, category_id 11) but not deep-read - confirm it is still the live/current thread before relying on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untrusted external-lead seeds (@rishithegreat41 + 2 more) - treat as an early-stage watch item, not a verified conviction call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2026-09-13T06:25:21.441Z</dcterms:created>
  <dcterms:modified xsi:type="dcterms:W3CDTF">2026-09-13T06:25:21.442Z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