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Bank of India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 PSU bank riding the broader PSU-bank asset-quality/profitability cycle, but no bank-specific named inflection found - large-cap fast-track disposition, 'neither'.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Bank of India is a large public-sector bank with a pan-India branch network, part of the broader PSU-banking-sector re-rating over the last few years as NPA cycles improved system-wide. No BOI-specific catalyst (privatisation news, capital raise, management change) was identified in this fast pass beyond that sector-wide backdrop. Seeded via X (@SanaSecurities, untrusted triage,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66,637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~11.7% (3-year average)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NIM / NPA</w:t>
            </w:r>
          </w:p>
        </w:tc>
        <w:tc>
          <w:tcPr>
            <w:tcW w:type="dxa" w:w="5800"/>
          </w:tcPr>
          <w:p>
            <w:r>
              <w:t xml:space="preserve">Not confirmed to a single reliable source this pass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Not confirmed to a single reliable source this pass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Bank of India's ~11.7% 3-year average ROE is middling for a PSU bank in the current up-cycle - not distressed, but not a standout either. No specific named management or structural inflection (privatisation step, capital infusion, strategic pivot) was identified in this fast pass; the bull case, to the extent one exists, is the generic sector-wide PSU-bank profitability recovery rather than anything company-specific.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fast large-cap triage, disposition turns on the large-cap-no-inflection default, not chart position.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check performed - large-cap with no named inflection found, fast-track disposition per triage rules (Step 7 skipped).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surfaced in this fast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Beneficiary of the broader systemic PSU-bank NPA-cycle improvement and profitability recovery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 scale, government backing, pan-India branch network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(~Rs 66,637 Cr) reflects continued PSU-bank re-rating over recent years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BOI-specific named catalyst found - the bull case is generic sector tailwind, not a company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(~11.7% 3-yr avg) remains below top private-bank benchmarks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PSU banks carry inherent governance/capital-allocation overhangs (government ownership, priority-sector lending mandates)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66,637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yes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Systemic PSU-bank NPA-cycle improvement is a real but generic (not company-specific) tailwind (weak); tam defaulted to 'no' per the large-cap-no-named-inflection rule; PSU banks carry only a weak moat (government backing/branch network, but limited differentiation vs peers); PSU banks including BOI often screen cheap on P/B (valuation yes). Score 2.0.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Large PSU bank benefiting from the sector-wide asset-quality up-cycle, but no bank-specific named inflection - large-cap default applies. thesis_fit 'neither',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(~Rs 66,637 Cr) triage default: tam=no absent a specific named management/structural inflection; none found in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(2.0) is well below the 3.0 label threshold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 found; ROE is middling (~11.7%), consistent with a broad sector rerating rather than a company-specific re-rating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 triage only - no forum deep-dive, per the large-cap-no-inflection rule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2026-09-16T02:36:19.577Z</dcterms:created>
  <dcterms:modified xsi:type="dcterms:W3CDTF">2026-09-16T02:36:19.578Z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