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Beacon Trusteeship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Tiny (~Rs 151 Cr market cap) SEBI-licensed debenture/security/AIF trustee compounding profit at ~49% CAGR with ROCE ~22% and a debt-free balance sheet at just ~18.5x trailing P/E - a genuine small-cap-scale-up story riding India's bond and AIF market boom, tempered by a promoter side-business caution.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Beacon Trusteeship Ltd (NSE: BEACON) is a SEBI-registered trustee providing Debenture Trusteeship, Security Trusteeship, AIF Trusteeship, ESOP Trusteeship, Securitization Trusteeship, Bond Trusteeship and Escrow Agent services - a licensed, capital-light, annuity-fee business. Per a VP forum summary it serves ~200 of India's 1,433 registered AIFs (~15% market share) in the AIF-trustee segment. The regulated-license structure limits the field to a handful of players (Beacon, IDBI Trusteeship, Axis Trustee, Catalyst Trusteeship, Vistra). Seeded via untrusted X triage (@SanaSecurities, 2026-09-13).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151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Stock P/E</w:t>
            </w:r>
          </w:p>
        </w:tc>
        <w:tc>
          <w:tcPr>
            <w:tcW w:type="dxa" w:w="5800"/>
          </w:tcPr>
          <w:p>
            <w:r>
              <w:t xml:space="preserve">~Rs 83.6 / ~18.5x trailing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~22.4% / ~16.6%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Profit growth</w:t>
            </w:r>
          </w:p>
        </w:tc>
        <w:tc>
          <w:tcPr>
            <w:tcW w:type="dxa" w:w="5800"/>
          </w:tcPr>
          <w:p>
            <w:r>
              <w:t xml:space="preserve">~49.1% CAGR over past 5 years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Book value</w:t>
            </w:r>
          </w:p>
        </w:tc>
        <w:tc>
          <w:tcPr>
            <w:tcW w:type="dxa" w:w="5800"/>
          </w:tcPr>
          <w:p>
            <w:r>
              <w:t xml:space="preserve">~Rs 29.5/share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Almost debt-free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~Rs 50.0 - Rs 125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A classic small, capital-light, license-gated compounder profile: ~49% 5-year profit CAGR, ROCE ~22% and ROE ~16.6%, debt-free, trading at only ~18.5x trailing earnings - cheap for the growth rate if it persists. The business benefits from two structural India tailwinds it doesn't have to create itself: the growing corporate bond/debt-capital-market issuance (every issuance needs a SEBI-registered debenture trustee) and the AIF industry's rapid AUM expansion (Beacon already holds ~15% share of AIF-trustee mandates per the VP forum). The TAM is real but scales with fee-percentage-of-issuance economics rather than volume alone, so it is not unlimited. A single caution surfaced on the VP thread: a forum member (Gaurav, Apr 2026) flagged that the promoter also runs separate unlisted entities (e.g. 'Codium Techlabs') in adjacent lines - a related-party-structure concern worth tracking, not a disqualifying red flag on its own.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Currently ~Rs 83.6, roughly mid-range of the ~Rs 50-125 52-week band - not pulled in further detail this pass.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VP forum thread 'Beacon Trusteeship Ltd' (topic_id 184111) resolved via search.json - a small thread (18 posts, opened Jan 2025, last bumped Jun 2026). Original post (Prateek Sen) laid out the AIF/Securities-Trustee market-share business case. One later post (Gaurav, Apr 2026, cross-posted from a Borana Weaves thread) raised the promoter-side-business caution. No deep post-by-post read performed given the thread's small size and budget - a light scan only.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Small but genuine dedicated VP thread exists (18 posts); no trusted-cluster or elevated-tier user signal found this pass.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red flags (SEBI action, going-concern, auditor resignation, promoter-pledge/holding collapse) surfaced this pass.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~49% 5-year profit CAGR against a licensed-oligopoly moat (SEBI-registered trustee, ~15% share of AIF-trustee mandates) - hard to replicate quickly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Capital-light, high-ROCE (~22%) annuity-fee model, debt-free balance sheet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Cheap at ~18.5x trailing P/E for the growth rate if it persists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Riding two real structural India tailwinds: corporate bond market deepening and AIF industry AUM growth, neither of which the company has to manufacture itself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Tiny market cap (~Rs 151 Cr) - thin liquidity, single-business concentration risk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runs separate unlisted entities in adjacent lines (e.g. Codium Techlabs, per a VP forum caution) - a related-party-structure concern not independently verified this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Trustee fee pool scales with issuance value/count, not an unbounded volume TAM - growth could decelerate as the base grows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trusted-cluster or elevated-tier community corroboration found this pass - the growth math is genuinely attractive but unverified beyond the fundamentals themselves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Micro/small-cap (~Rs 151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100x-in-10-years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yes · valuation: yes  (score 4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SEBI-license oligopoly trustee business riding bond-market and AIF-industry structural growth, ~49% profit CAGR, cheap at ~18.5x P/E, debt-free. Score permits a 10x/100x label; conviction capped Medium pending stronger community corroboration and clarity on the promoter's other entities.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 genuinely strong small-cap compounder profile - ~49% profit CAGR, ~22% ROCE, debt-free, cheap at ~18.5x P/E, licensed-oligopoly moat in a structurally growing bond/AIF market - four_box score 4.0 permits a 10x/100x label, but conviction capped at Medium given the tiny dedicated VP thread and an unverified promoter-side-business caution.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four_box: tailwind yes (bond market + AIF industry growth), tam yes (real, growing fee pool, though not unlimited), moat yes (SEBI-license oligopoly, ~15% AIF-trustee share), valuation yes (~18.5x P/E for ~49% profit CAGR) -&gt; score 4.0.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Score &gt;=3.0 permits a 10x/100x label per protocol; the underlying growth math (49% CAGR from a ~Rs 151 Cr base) genuinely supports 100x-in-10-years arithmetic more plausibly than a literal 10x-in-2-3-years re-rating, so labelled '100x-in-10-years' (analyst_override, small-cap exception applied).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capped at Medium: no trusted-cluster/elevated-tier VP corroboration found (thread is small, 18 posts), and a promoter-related-party caution (separate unlisted entities) was flagged by a forum member and not independently verified this pass.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 found; light forum check only performed per fast-triage protocol given genuine promise.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2026-09-16T02:42:58.527Z</dcterms:created>
  <dcterms:modified xsi:type="dcterms:W3CDTF">2026-09-16T02:42:58.528Z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