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Bombay Dyeing &amp; Manufacturing Company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Legacy textile/PSF conglomerate whose real long-running bull case is Mumbai real-estate landbank optionality, but core reported profitability is negative-to-near-zero.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Bombay Dyeing &amp; Manufacturing Company Ltd (NSE: BOMDYEING, BSE: 500020) operates across Real Estate Development, Polyester Staple Fibre (PSF) manufacturing, and Retail/Textiles. The perennial bull case is its large legacy land parcels in Mumbai (e.g. Island City / Worli redevelopment) being unlocked for real-estate value, while the core PSF/textile operations have long struggled on profitability. Seeded 2026-09-13 via untrusted X triage (@nathanit2014, bullish/high-conviction).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2,580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92 - Rs 197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~-9.86% (3-year average)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~1.98%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~4.12% over 5 years (poor)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 at the group level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Segments</w:t>
            </w:r>
          </w:p>
        </w:tc>
        <w:tc>
          <w:tcPr>
            <w:tcW w:type="dxa" w:w="5800"/>
          </w:tcPr>
          <w:p>
            <w:r>
              <w:t xml:space="preserve">Real Estate Development, Polyester Staple Fibre (PSF), Retail/Textiles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Reported returns are weak-to-negative: ROE has averaged about -9.9% over three years and ROCE sits near 2%, with anemic ~4% revenue growth over five years from the PSF/textile core. The company is almost debt-free, which gives room to monetise its real-estate landbank without balance-sheet distress, but that optionality has been discussed for years without showing up in reported profitability, and this pass found no fresh, dated catalyst (e.g. a signed JV, launch, or monetisation event) that would change the picture now.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fundamentals-first triage; stock trades well below its 52-week high of ~Rs 197.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Forum/topic check skipped this pass - four_box score (1.5) is below the 'genuinely promising' bar for a forum search.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CIRP, negative net worth, active SEBI/fraud action, or promoter-pledge-collapse flags surfaced this pass. Company is described as 'almost debt-free,' but core profitability (ROE ~-9.86%, ROCE ~2%) is weak enough to warrant caution independent of red-flag criteria.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 legacy Mumbai land bank creates long-running real-estate redevelopment optionality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Almost debt-free balance sheet gives room to monetise real estate without distress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PSF/textile operations deliver negative ROE (~-9.86% 3-yr avg) and near-zero ROCE (~2%)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anemic at ~4% over 5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Real-estate monetisation has been discussed for years with a slow, uncertain execution history; no fresh dated catalyst found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Optionality value is not showing up in reported return ratios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Small-mid cap (~Rs 2,580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Real-estate optionality is genuine but undated; core PSF/textile business has no moat and negative ROE despite being nearly debt-free. Score &lt;=1.5 -&gt; hard 'neither'.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Legacy textile/PSF group whose real bull case is Mumbai real-estate landbank optionality, but core reported profitability is negative/near-zero (ROE ~-9.86%, ROCE ~2%) - four_box scores 1.5, a hard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1.5 (tailwind weak - real-estate optionality is real but multi-year and undated; tam weak; moat no - commodity PSF/textile business; valuation weak - negative ROE despite an almost debt-free balance sheet). Score &lt;=1.5 -&gt; thesis_fit 'neither' is a hard rule; no exception applicable.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AVOID/EXCLUDE/HIGH CAUTION red flag found this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7 forum check skipped given the sub-2.0 score.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2026-09-13T06:25:31.624Z</dcterms:created>
  <dcterms:modified xsi:type="dcterms:W3CDTF">2026-09-13T06:25:31.624Z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