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CRISIL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Dominant, S&amp;P-Global-backed Indian credit-rating and research franchise with a strong single-quarter print, but no specific named structural inflection found this pass - large-cap fast-track disposition,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CRISIL is India's leading credit-rating agency and a global research/analytics provider, majority-owned by S&amp;P Global. The business is asset-light with a strong regulatory/brand moat as one of a small number of SEBI-registered rating agencies, plus a growing global research/analytics (GR&amp;A) arm. Seeded via X (@SanaSecurities, untrusted triage,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33,015 Cr (as of 2026-09-07)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3,686 - Rs 5,115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Multi-year CAGR ~13.0% vs industry median ~13.75% (roughly in line, not ahead); Q2 2026 net sales +27.6% YoY (single strong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improved to ~1.3x from 2.4x in FY17 (multi-year deleveraging trend; not re-verified for the latest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Quality assessment</w:t>
            </w:r>
          </w:p>
        </w:tc>
        <w:tc>
          <w:tcPr>
            <w:tcW w:type="dxa" w:w="5800"/>
          </w:tcPr>
          <w:p>
            <w:r>
              <w:t xml:space="preserve">Screener-style multi-year quality read is positive on revenue growth, ROCE, margins and cash conversion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CRISIL's brand and regulatory moat in Indian credit ratings, backed by S&amp;P Global, are genuine and durable, and the multi-year deleveraging trend plus a strong Q2 2026 quarter (+27.6% YoY net sales) are real positives. However, the longer-run revenue CAGR (~13%) is roughly in line with, not clearly ahead of, the industry median, and no specific named management or structural catalyst (a new regulatory mandate, a named large contract, a strategic pivot) was identified in this fast pass - the one strong quarter alone does not constitute a named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within a Rs 3,686-5,115 52-week band; not pulled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large-cap with no named inflection found, fast-track disposition per triage rules (Step 7 skipped).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regulator-anointed Indian credit-rating franchise with S&amp;P Global backing and strong brand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historically strong quality metrics (ROCE, margins, cash conversion) per screener-style multi-year assessment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Q2 2026 quarter (+27.6% YoY net sales) and a multi-year deleveraging trend (net debt/EBITDA ~1.3x, down from 2.4x)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found - the one strong quarter is not, by itself, a named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revenue CAGR (~13%) is roughly in line with, not ahead of, the industry median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relatively mature domestic ratings TAM; further growth increasingly depends on the global research/analytics arm, which is less differentiated/moated than the core ratings business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33,015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One strong quarter (+27.6% YoY) is a modest tailwind but not corroborated by the longer multi-year CAGR (weak); tam defaulted to 'no' per the large-cap-no-named-inflection rule; regulatory/brand moat is strong (yes, SEBI-anointed rating agency + S&amp;P Global backing); valuation not clearly cheap within its 52-week band (weak).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Durable, S&amp;P-backed rating/research franchise with a strong recent quarter, but no named structural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33,015 Cr) triage default: tam=no absent a specific named management/structural inflection; a single strong quarter (+27.6% YoY) does not itself qualify as a named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(2.0) is well below the 3.0 label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quality metrics and moat are genuinely strong but this reads as a steady compounder, not a re-rating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no forum deep-dive, per the large-cap-no-inflection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2026-09-16T02:36:19.874Z</dcterms:created>
  <dcterms:modified xsi:type="dcterms:W3CDTF">2026-09-16T02:36:19.874Z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