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Dynamic Cables Ltd (DYCL)</w:t>
      </w:r>
    </w:p>
    <w:p>
      <w:pPr>
        <w:pBdr>
          <w:bottom w:val="single" w:color="CCCCCC" w:sz="6" w:space="8"/>
        </w:pBdr>
        <w:spacing w:after="200"/>
      </w:pPr>
      <w:r>
        <w:rPr>
          <w:i/>
          <w:iCs/>
          <w:color w:val="666666"/>
          <w:sz w:val="22"/>
          <w:szCs w:val="22"/>
        </w:rPr>
        <w:t xml:space="preserve">Debt-free small-cap power-cable manufacturer (LV/MV/HV/EHV, solar, railway-signalling, aluminium conductors) riding India's multi-year T&amp;D capex supercycle - ROCE 26%, ROE 20%, 53% 5-yr PAT CAGR, at a still-reasonable ~24x trailing P/E.</w:t>
      </w:r>
    </w:p>
    <w:p>
      <w:pPr>
        <w:pStyle w:val="Heading1"/>
        <w:spacing w:after="120" w:before="280"/>
      </w:pPr>
      <w:r>
        <w:t xml:space="preserve">Business Overview</w:t>
      </w:r>
    </w:p>
    <w:p>
      <w:pPr>
        <w:spacing w:after="120"/>
      </w:pPr>
      <w:r>
        <w:t xml:space="preserve">Dynamic Cables manufactures a broad range of power cables and conductors - LV/MV/HV/EHV power cables, control &amp; instrumentation cables, solar cables, railway signalling cables, building wires, and aluminium conductors - for domestic and export markets. The business is a direct beneficiary of India's power transmission &amp; distribution (T&amp;D) capex up-cycle and renewable-energy evacuation infrastructure build-out. Seeded via untrusted X triage (@ParthaAwe, bullish/very-high conviction, 2026-09-13).</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2,207 Cr (price ~Rs 455)</w:t>
            </w:r>
          </w:p>
        </w:tc>
      </w:tr>
      <w:tr>
        <w:tc>
          <w:tcPr>
            <w:tcW w:type="dxa" w:w="3200"/>
            <w:shd w:fill="F2F2F2" w:val="clear"/>
          </w:tcPr>
          <w:p>
            <w:r>
              <w:rPr>
                <w:b/>
                <w:bCs/>
              </w:rPr>
              <w:t xml:space="preserve">52-week range</w:t>
            </w:r>
          </w:p>
        </w:tc>
        <w:tc>
          <w:tcPr>
            <w:tcW w:type="dxa" w:w="5800"/>
          </w:tcPr>
          <w:p>
            <w:r>
              <w:t xml:space="preserve">~Rs 237 - Rs 560</w:t>
            </w:r>
          </w:p>
        </w:tc>
      </w:tr>
      <w:tr>
        <w:tc>
          <w:tcPr>
            <w:tcW w:type="dxa" w:w="3200"/>
            <w:shd w:fill="F2F2F2" w:val="clear"/>
          </w:tcPr>
          <w:p>
            <w:r>
              <w:rPr>
                <w:b/>
                <w:bCs/>
              </w:rPr>
              <w:t xml:space="preserve">ROCE / ROE</w:t>
            </w:r>
          </w:p>
        </w:tc>
        <w:tc>
          <w:tcPr>
            <w:tcW w:type="dxa" w:w="5800"/>
          </w:tcPr>
          <w:p>
            <w:r>
              <w:t xml:space="preserve">ROCE ~26.2%, ROE ~19.9%</w:t>
            </w:r>
          </w:p>
        </w:tc>
      </w:tr>
      <w:tr>
        <w:tc>
          <w:tcPr>
            <w:tcW w:type="dxa" w:w="3200"/>
            <w:shd w:fill="F2F2F2" w:val="clear"/>
          </w:tcPr>
          <w:p>
            <w:r>
              <w:rPr>
                <w:b/>
                <w:bCs/>
              </w:rPr>
              <w:t xml:space="preserve">Profit growth</w:t>
            </w:r>
          </w:p>
        </w:tc>
        <w:tc>
          <w:tcPr>
            <w:tcW w:type="dxa" w:w="5800"/>
          </w:tcPr>
          <w:p>
            <w:r>
              <w:t xml:space="preserve">~53.2% CAGR over last 5 years</w:t>
            </w:r>
          </w:p>
        </w:tc>
      </w:tr>
      <w:tr>
        <w:tc>
          <w:tcPr>
            <w:tcW w:type="dxa" w:w="3200"/>
            <w:shd w:fill="F2F2F2" w:val="clear"/>
          </w:tcPr>
          <w:p>
            <w:r>
              <w:rPr>
                <w:b/>
                <w:bCs/>
              </w:rPr>
              <w:t xml:space="preserve">Debt</w:t>
            </w:r>
          </w:p>
        </w:tc>
        <w:tc>
          <w:tcPr>
            <w:tcW w:type="dxa" w:w="5800"/>
          </w:tcPr>
          <w:p>
            <w:r>
              <w:t xml:space="preserve">Reduced debt, almost debt-free</w:t>
            </w:r>
          </w:p>
        </w:tc>
      </w:tr>
      <w:tr>
        <w:tc>
          <w:tcPr>
            <w:tcW w:type="dxa" w:w="3200"/>
            <w:shd w:fill="F2F2F2" w:val="clear"/>
          </w:tcPr>
          <w:p>
            <w:r>
              <w:rPr>
                <w:b/>
                <w:bCs/>
              </w:rPr>
              <w:t xml:space="preserve">Valuation</w:t>
            </w:r>
          </w:p>
        </w:tc>
        <w:tc>
          <w:tcPr>
            <w:tcW w:type="dxa" w:w="5800"/>
          </w:tcPr>
          <w:p>
            <w:r>
              <w:t xml:space="preserve">P/E ~24.2x trailing</w:t>
            </w:r>
          </w:p>
        </w:tc>
      </w:tr>
    </w:tbl>
    <w:p>
      <w:pPr>
        <w:spacing w:after="100"/>
      </w:pPr>
    </w:p>
    <w:p>
      <w:pPr>
        <w:spacing w:after="120"/>
      </w:pPr>
      <w:r>
        <w:t xml:space="preserve">Dynamic Cables combines genuinely strong return ratios (ROCE ~26%, ROE ~20%) with a five-year profit CAGR of ~53%, while actively deleveraging to near debt-free status - an unusual combination of fast growth and balance-sheet discipline at a small market cap (~Rs 2,200 Cr). Valuation at ~24x trailing P/E is not obviously cheap in absolute terms but looks reasonable relative to the growth and quality metrics (implied PEG well under 1x if growth persists). The business sits directly in India's power T&amp;D capex supercycle (grid strengthening, renewable evacuation, railway electrification) - a structural, multi-year demand tailwind rather than a one-off order. Caveat: cable manufacturing is a scale/execution business with only moderate technological differentiation, so some of the current growth and margin strength likely reflects a favourable capex-cycle phase rather than a permanent step-change in competitive position; not independently verified against order-book/capacity-utilisation detail this pass.</w:t>
      </w:r>
    </w:p>
    <w:p>
      <w:pPr>
        <w:pStyle w:val="Heading1"/>
        <w:spacing w:after="120" w:before="280"/>
      </w:pPr>
      <w:r>
        <w:t xml:space="preserve">Technical Read (Weekly / Monthly MACD + Bollinger Bands, or RSI/CCI/Williams %R proxy)</w:t>
      </w:r>
    </w:p>
    <w:p>
      <w:pPr>
        <w:spacing w:after="120"/>
      </w:pPr>
      <w:r>
        <w:t xml:space="preserve">Trades meaningfully below its 52-week high (~Rs 560) at ~Rs 455 - not independently re-pulled this pass.</w:t>
      </w:r>
    </w:p>
    <w:p>
      <w:pPr>
        <w:pStyle w:val="Heading1"/>
        <w:spacing w:after="120" w:before="280"/>
      </w:pPr>
      <w:r>
        <w:t xml:space="preserve">ValuePickr Community Signal</w:t>
      </w:r>
    </w:p>
    <w:p>
      <w:pPr>
        <w:spacing w:after="120"/>
      </w:pPr>
      <w:r>
        <w:t xml:space="preserve">Forum thread resolved (topic_id 94031, 'Dynamic Cables - much more dynamic in 2022', category 11) but not deep-read this pass per budget - fast web/filings-based write-up only, no forum deep-dive given time constraints.</w:t>
      </w:r>
    </w:p>
    <w:p>
      <w:pPr>
        <w:spacing w:after="120"/>
      </w:pPr>
      <w:r>
        <w:rPr>
          <w:b/>
          <w:bCs/>
          <w:sz w:val="20"/>
          <w:szCs w:val="20"/>
        </w:rPr>
        <w:t xml:space="preserve">High-conviction call from a top contributor: </w:t>
      </w:r>
      <w:r>
        <w:rPr>
          <w:sz w:val="20"/>
          <w:szCs w:val="20"/>
        </w:rPr>
        <w:t xml:space="preserve">Not assessed this pass (no deep forum read).</w:t>
      </w:r>
    </w:p>
    <w:p>
      <w:pPr>
        <w:pStyle w:val="Heading1"/>
        <w:spacing w:after="120" w:before="280"/>
      </w:pPr>
      <w:r>
        <w:t xml:space="preserve">BSE Corporate Actions / Other Red Flags</w:t>
      </w:r>
    </w:p>
    <w:p>
      <w:pPr>
        <w:spacing w:after="120"/>
      </w:pPr>
      <w:r>
        <w:t xml:space="preserve">No red flags found this pass (no going-concern, SEBI action, promoter-holding collapse, or auditor resignation surfaced).</w:t>
      </w:r>
    </w:p>
    <w:p>
      <w:pPr>
        <w:pStyle w:val="Heading1"/>
        <w:spacing w:after="120" w:before="280"/>
      </w:pPr>
      <w:r>
        <w:t xml:space="preserve">Bull Case</w:t>
      </w:r>
    </w:p>
    <w:p>
      <w:pPr>
        <w:pStyle w:val="ListParagraph"/>
        <w:numPr>
          <w:ilvl w:val="0"/>
          <w:numId w:val="1"/>
        </w:numPr>
        <w:spacing w:after="60"/>
      </w:pPr>
      <w:r>
        <w:t xml:space="preserve">Rare combination for a small-cap: ROCE ~26%, ROE ~20%, 5-yr PAT CAGR ~53%, and active deleveraging toward debt-free - genuine quality-plus-growth profile</w:t>
      </w:r>
    </w:p>
    <w:p>
      <w:pPr>
        <w:pStyle w:val="ListParagraph"/>
        <w:numPr>
          <w:ilvl w:val="0"/>
          <w:numId w:val="1"/>
        </w:numPr>
        <w:spacing w:after="60"/>
      </w:pPr>
      <w:r>
        <w:t xml:space="preserve">Direct, structural beneficiary of India's multi-year power T&amp;D capex supercycle (grid strengthening, renewable evacuation, railway electrification), not a one-off order cycle</w:t>
      </w:r>
    </w:p>
    <w:p>
      <w:pPr>
        <w:pStyle w:val="ListParagraph"/>
        <w:numPr>
          <w:ilvl w:val="0"/>
          <w:numId w:val="1"/>
        </w:numPr>
        <w:spacing w:after="60"/>
      </w:pPr>
      <w:r>
        <w:t xml:space="preserve">Valuation (~24x trailing P/E) looks reasonable relative to the growth/quality combination - not priced for perfection like some capex-cycle peers</w:t>
      </w:r>
    </w:p>
    <w:p>
      <w:pPr>
        <w:pStyle w:val="Heading1"/>
        <w:spacing w:after="120" w:before="280"/>
      </w:pPr>
      <w:r>
        <w:t xml:space="preserve">Bear Case / Key Risks</w:t>
      </w:r>
    </w:p>
    <w:p>
      <w:pPr>
        <w:pStyle w:val="ListParagraph"/>
        <w:numPr>
          <w:ilvl w:val="0"/>
          <w:numId w:val="1"/>
        </w:numPr>
        <w:spacing w:after="60"/>
      </w:pPr>
      <w:r>
        <w:t xml:space="preserve">Cable manufacturing has only moderate technological differentiation - much of the current strength may reflect a favourable point in the capex cycle rather than a durable structural moat</w:t>
      </w:r>
    </w:p>
    <w:p>
      <w:pPr>
        <w:pStyle w:val="ListParagraph"/>
        <w:numPr>
          <w:ilvl w:val="0"/>
          <w:numId w:val="1"/>
        </w:numPr>
        <w:spacing w:after="60"/>
      </w:pPr>
      <w:r>
        <w:t xml:space="preserve">53% 5-yr PAT CAGR partly reflects a low base; sustaining this pace at a larger revenue base is a real execution risk</w:t>
      </w:r>
    </w:p>
    <w:p>
      <w:pPr>
        <w:pStyle w:val="ListParagraph"/>
        <w:numPr>
          <w:ilvl w:val="0"/>
          <w:numId w:val="1"/>
        </w:numPr>
        <w:spacing w:after="60"/>
      </w:pPr>
      <w:r>
        <w:t xml:space="preserve">No forum deep-dive performed this pass - order-book visibility, capacity-utilisation and customer-concentration detail not independently verified</w:t>
      </w:r>
    </w:p>
    <w:p>
      <w:pPr>
        <w:pStyle w:val="Heading1"/>
        <w:spacing w:after="120" w:before="280"/>
      </w:pPr>
      <w:r>
        <w:t xml:space="preserve">Market-Cap Tier (informational — not a gate in this project)</w:t>
      </w:r>
    </w:p>
    <w:p>
      <w:pPr>
        <w:spacing w:after="120"/>
      </w:pPr>
      <w:r>
        <w:rPr>
          <w:b/>
          <w:bCs/>
        </w:rPr>
        <w:t xml:space="preserve">Small-cap (~Rs 2,200-2,250 Cr)</w:t>
      </w:r>
    </w:p>
    <w:p>
      <w:pPr>
        <w:pStyle w:val="Heading1"/>
        <w:spacing w:after="120" w:before="280"/>
      </w:pPr>
      <w:r>
        <w:t xml:space="preserve">Thesis Fit</w:t>
      </w:r>
    </w:p>
    <w:p>
      <w:pPr>
        <w:spacing w:after="120"/>
      </w:pPr>
      <w:r>
        <w:rPr>
          <w:b/>
          <w:bCs/>
          <w:sz w:val="24"/>
          <w:szCs w:val="24"/>
        </w:rPr>
        <w:t xml:space="preserve">10x-in-2-3-years</w:t>
      </w:r>
    </w:p>
    <w:p>
      <w:pPr>
        <w:spacing w:after="120"/>
      </w:pPr>
      <w:r>
        <w:rPr>
          <w:color w:val="666666"/>
          <w:sz w:val="20"/>
          <w:szCs w:val="20"/>
        </w:rPr>
        <w:t xml:space="preserve">4-box gate — tailwind: yes · TAM: yes · moat: weak · valuation: yes  (score 3.5 / 4)</w:t>
      </w:r>
    </w:p>
    <w:p>
      <w:pPr>
        <w:spacing w:after="120"/>
      </w:pPr>
      <w:r>
        <w:rPr>
          <w:i/>
          <w:iCs/>
          <w:color w:val="666666"/>
          <w:sz w:val="20"/>
          <w:szCs w:val="20"/>
        </w:rPr>
        <w:t xml:space="preserve">Power T&amp;D capex supercycle and multi-year grid/renewable-evacuation demand support tailwind/tam; moat is weak (scale/execution business, moderate differentiation); valuation is attractive (~24x P/E against 53% 5-yr PAT CAGR, ROCE ~26%, near debt-free).</w:t>
      </w:r>
    </w:p>
    <w:p>
      <w:pPr>
        <w:pStyle w:val="Heading1"/>
        <w:spacing w:after="120" w:before="280"/>
      </w:pPr>
      <w:r>
        <w:t xml:space="preserve">Verdict</w:t>
      </w:r>
    </w:p>
    <w:p>
      <w:pPr>
        <w:spacing w:after="120"/>
      </w:pPr>
      <w:r>
        <w:rPr>
          <w:b/>
          <w:bCs/>
          <w:sz w:val="24"/>
          <w:szCs w:val="24"/>
        </w:rPr>
        <w:t xml:space="preserve">Debt-free small-cap cable manufacturer combining ROCE ~26%/ROE ~20% with a 53% 5-yr PAT CAGR, squarely positioned in India's multi-year T&amp;D capex supercycle at a still-reasonable ~24x trailing P/E - four_box score 3.5 genuinely supports a 10x-in-2-3-years label if the growth/deleveraging combination persists. Conviction Medium (not higher - zero forum corroboration this pass), thesis_fit '10x-in-2-3-years' (analyst_override - label applied).</w:t>
      </w:r>
    </w:p>
    <w:p>
      <w:pPr>
        <w:pStyle w:val="ListParagraph"/>
        <w:numPr>
          <w:ilvl w:val="0"/>
          <w:numId w:val="1"/>
        </w:numPr>
        <w:spacing w:after="60"/>
      </w:pPr>
      <w:r>
        <w:t xml:space="preserve">four_box = 3.5 (tailwind yes - power T&amp;D capex supercycle, renewable evacuation, railway electrification; tam yes - multi-year national grid capex + exports; moat weak - cable manufacturing is scale/execution-driven with only moderate differentiation; valuation yes - ~24x trailing P/E is reasonable against 53% profit CAGR and 26% ROCE).</w:t>
      </w:r>
    </w:p>
    <w:p>
      <w:pPr>
        <w:pStyle w:val="ListParagraph"/>
        <w:numPr>
          <w:ilvl w:val="0"/>
          <w:numId w:val="1"/>
        </w:numPr>
        <w:spacing w:after="60"/>
      </w:pPr>
      <w:r>
        <w:t xml:space="preserve">Score &gt;=3.0 and the growth math is genuinely strong (debt-free balance sheet, ROCE/ROE well above cost of capital, 53% 5-yr PAT CAGR) - a small-cap capex-cycle beneficiary case comparable to prior batches' eppelton/rappid-valves/garuda-construction pattern, so the 10x/100x label is applied rather than defaulted away.</w:t>
      </w:r>
    </w:p>
    <w:p>
      <w:pPr>
        <w:pStyle w:val="ListParagraph"/>
        <w:numPr>
          <w:ilvl w:val="0"/>
          <w:numId w:val="1"/>
        </w:numPr>
        <w:spacing w:after="60"/>
      </w:pPr>
      <w:r>
        <w:t xml:space="preserve">Conviction capped at Medium, not higher: this is an aggressive categorical label - not a literal financial guarantee - and rests on the T&amp;D capex cycle and current growth/margin profile persisting; not independently stress-tested against order-book detail this pass. Unlike eppelton/rappid-valves/garuda-construction (each had at least a passing forum mention or a resolved thread with post activity), this pass performed zero forum engagement - topic_id 94031 was resolved but not read at all - so conviction should not exceed, and arguably sits below, those three.</w:t>
      </w:r>
    </w:p>
    <w:p>
      <w:pPr>
        <w:pStyle w:val="ListParagraph"/>
        <w:numPr>
          <w:ilvl w:val="0"/>
          <w:numId w:val="1"/>
        </w:numPr>
        <w:spacing w:after="60"/>
      </w:pPr>
      <w:r>
        <w:t xml:space="preserve">No red flag found. Flagged for a forum deep-read next time this name comes up in rotation.</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2026-09-15T15:10:57.849Z</dcterms:created>
  <dcterms:modified xsi:type="dcterms:W3CDTF">2026-09-15T15:10:57.849Z</dcterms:modified>
</cp:coreProperties>
</file>

<file path=docProps/custom.xml><?xml version="1.0" encoding="utf-8"?>
<Properties xmlns="http://schemas.openxmlformats.org/officeDocument/2006/custom-properties" xmlns:vt="http://schemas.openxmlformats.org/officeDocument/2006/docPropsVTypes"/>
</file>