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EMA India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A 1971-founded Kanpur induction-heating-equipment manufacturer that has shut down its manufacturing operations entirely amid sustained losses - auditors have flagged it as no longer a going concern. Hard AVOID.</w:t>
      </w:r>
    </w:p>
    <w:p>
      <w:pPr>
        <w:shd w:fill="FFF0F0" w:val="clear"/>
        <w:spacing w:after="200"/>
      </w:pPr>
      <w:r>
        <w:rPr>
          <w:b/>
          <w:bCs/>
          <w:color w:val="A32020"/>
          <w:sz w:val="22"/>
          <w:szCs w:val="22"/>
        </w:rPr>
        <w:t xml:space="preserve">RED FLAG TIER: AVOID — </w:t>
      </w:r>
      <w:r>
        <w:rPr>
          <w:sz w:val="20"/>
          <w:szCs w:val="20"/>
        </w:rPr>
        <w:t xml:space="preserve">Manufacturing operations shut down entirely amid sustained losses from a prolonged industry recession; auditors have explicitly stated the company has ceased to be a going concern.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EMA India Ltd (BSE: EMAINDIA, formerly a leader in induction heating equipment, heat-treatment furnaces and honing machines for automotive/defense clients including TELCO, Ashok Leyland and BEML, with technical tie-ups via Gehring Germany) has, per recent reporting, ceased manufacturing activities entirely after years of losses attributed to a prolonged industry recession. Auditors have explicitly stated the company has ceased to be a going concern. Seeded 2026-09-13 via untrusted X triage (@rajuidesai, medium conviction) - the bullish X view does not survive the fundamentals check.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72.2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129.20 - Rs 876.75 - extreme range consistent with distressed/illiquid micro-cap trading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(reported)</w:t>
            </w:r>
          </w:p>
        </w:tc>
        <w:tc>
          <w:tcPr>
            <w:tcW w:type="dxa" w:w="5800"/>
          </w:tcPr>
          <w:p>
            <w:r>
              <w:t xml:space="preserve">~139.39% (last reported year, consolidated) - a distorted figure typical of a company with a near-zero or negative equity base, not a genuine return signal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Reported as 'almost debt-free', but immaterial given no ongoing operations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Operating status</w:t>
            </w:r>
          </w:p>
        </w:tc>
        <w:tc>
          <w:tcPr>
            <w:tcW w:type="dxa" w:w="5800"/>
          </w:tcPr>
          <w:p>
            <w:r>
              <w:t xml:space="preserve">Manufacturing shut down entirely; auditors state the company has ceased to be a going concern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This is a going-concern AVOID, not a fundamentals debate. The headline ROE of ~139% is a statistical artifact of a shrunken equity base, not evidence of a healthy business - the company has no ongoing manufacturing operations. Skipped further fundamentals work per the red-flag fast-disposition rule.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relevant - distressed micro-cap with a wide 52-week band; no TA pulled.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Step-4/forum read performed - red flag (AVOID), per the fast-disposition rule.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sought - red flag.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AVOID. Auditors have stated the company has ceased to be a going concern after shutting down manufacturing entirely amid sustained losses from a prolonged industry recession. 55th AGM scheduled Sept 16, 2026.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None identified that survives the going-concern finding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Manufacturing operations shut down entirely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Auditors have explicitly stated the company has ceased to be a going concern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Years of sustained losses preceding the shutdown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Headline financial ratios (e.g. ROE ~139%) are distorted artifacts of a depleted equity base, not signals of business health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Distressed micro-cap (~Rs 72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Manufacturing shut down entirely; auditors say the company is no longer a going concern - a red-flag AVOID regardless of the bullish X mention. thesis_fit 'neither', conviction Low.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red_flag_tier AVOID: auditors have explicitly stated the company has ceased to be a going concern after a full manufacturing shutdown - never overridden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thesis_fit 'neither', conviction Low, Step 4/forum check skipped per the red-flag rule; four_box exercise skipped (red flag)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distorted ~139% ROE figure is a symptom of the going-concern issue (depleted equity base), not a genuine fundamental positive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Seeded via untrusted X triage (@rajuidesai) - the bullish social-media view does not survive even a first-pass fundamentals check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2026-09-15T15:18:22.630Z</dcterms:created>
  <dcterms:modified xsi:type="dcterms:W3CDTF">2026-09-15T15:18:22.631Z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