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Containers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profitable, low-debt small-cap steel-barrel manufacturer with historically solid returns, but revenue and profit are now shrinking with no visible growth driver - fine business, no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Gujarat Containers Ltd (incorporated 1992) manufactures steel barrels/drums for the packaging and industrial-goods sector. Seeded 2026-09-13 via untrusted X triage (@rajuidesai,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95.8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P/E / Book value</w:t>
            </w:r>
          </w:p>
        </w:tc>
        <w:tc>
          <w:tcPr>
            <w:tcW w:type="dxa" w:w="5800"/>
          </w:tcPr>
          <w:p>
            <w:r>
              <w:t xml:space="preserve">~Rs 170-178; P/E ~14.3; Book value ~Rs 94.4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~18.4%; ROE ~17.4% (3-yr average ROE ~24.4% - has declined recently)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1-year revenue growth ~-3.88%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Q2 FY26 net profit fell ~-29.9% YoY to ~Rs 1.36 Cr; 1-yr net income growth ~-10.84%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~59.7% promoter holding; no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154 - Rs 188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~0.88%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Historically a solid small-cap compounder (3-year average ROE of ~24.4%) but the current trend is soft: revenue down ~3.9% and net profit down nearly 30% in the most recent quarter reported. Steel barrels are a commodity, mature industrial-packaging product with no obvious structural growth driver disclosed. Balance sheet is clean (no pledge, healthy promoter holding at ~59.7%) and valuation is not demanding (P/E ~14.3), but a shrinking topline and bottomline argue against paying even a modest multiple for growth that isn't there right now.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four_box score is well below the promising threshold.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the fast-triage rule (not promising enough to warrant the search).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not searched.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found: no promoter pledge, auditor (CNK &amp; Associates LLP) unchanged, FY26 financials approved and dividend declared in recent board/shareholder meetings - all routine.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sheet, no promoter pledge, decent historical 3-year average ROE (~24.4%)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valuation (P/E ~14.3) and a modest dividend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~3.9% YoY and profit down ~30% in the most recent quarter - a shrinking, not growing, business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steel-barrel product with no disclosed structural growth driver or capacity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declined from a 3-yr average of ~24.4% to a current ~17.4%, suggesting the best years may be behind it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Commodity steel-barrel manufacturer with no named growth driver; revenue and profit both declining YoY; historically decent returns (3-yr avg ROE ~24.4%) but no current momentum or moat evidence beyond that history.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Clean, historically profitable steel-barrel maker now in revenue/profit decline with no growth driver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no - commodity industrial packaging, no named driver; tam no - mature/declining; moat weak - decent historical ROCE/ROE but no differentiation evident; valuation weak - P/E ~14.3 isn't demanding but isn't a screaming bargain against a shrinking base). Score &lt;=1.5, 'neither' applies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this is a plain weak-momentum fundamentals call, not a governance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Forum/community check skipped per the fast-triage rule - not promising enough to warrant 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2026-09-15T15:18:22.561Z</dcterms:created>
  <dcterms:modified xsi:type="dcterms:W3CDTF">2026-09-15T15:18:22.562Z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