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Housing and Urban Development Corporation Ltd (HUDCO)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PSU housing/urban-infrastructure lender with a cheap headline valuation (P/E ~8x) and strong ROE, riding India's urban-infra financing tailwind - no specific named structural inflection found; fast large-cap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HUDCO is a Government-of-India-owned NBFC/housing finance company that lends to state governments, urban local bodies and housing projects for infrastructure and affordable-housing development. Listed on NSE/BSE.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34,192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159 - Rs 247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~20.0% / ROCE ~8.4% (typical for a levered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12,379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~8.06x; dividend yield ~3.5%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~5.97 (standard NBFC leverage)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Track record</w:t>
            </w:r>
          </w:p>
        </w:tc>
        <w:tc>
          <w:tcPr>
            <w:tcW w:type="dxa" w:w="5800"/>
          </w:tcPr>
          <w:p>
            <w:r>
              <w:t xml:space="preserve">Profit CAGR ~20.5% over the past 5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HUDCO looks statistically cheap (P/E ~8x, dividend yield ~3.5%) with strong ROE (~20%) and a decent 5-year profit CAGR (~20.5%), benefiting from India's urban-infrastructure and affordable-housing financing push as a captive PSU lender to state governments and urban bodies. No specific named management or structural inflection (a new mandate, large one-off book re-rating, or named policy catalyst specific to HUDCO) surfaced in this fast pass - the cheap valuation is a standard PSU-lender discount rather than a mispriced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detail - fast large-cap triage; stock trades meaningfully below its 52-week high, but this doesn't change the default call absent a fundamental inflection.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(PSU lender, standard NBFC leverage,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(P/E ~8x) with strong ROE (~20%) and a decent dividend yield (~3.5%)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Captive PSU beneficiary of India's urban-infrastructure/affordable-housing financing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5-year profit CAGR (~20.5%)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this pass - cheap valuation reflects a standard PSU-lender discount, not an obvious mispricing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leverage (D/E ~5.97x) means asset-quality/credit-cost risk (state-government counterparty risk) is the key swing factor, not assessed in depth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scale (~Rs 34,192 Cr) - limits 10x/100x-type upside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34,192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high-ROE PSU urban-infra lender riding a well-known sector tailwind - no named inflection found, default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Housing and Urban Development Corporation Ltd, NSE/BSE: HUDCO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 per task instructions: tam scored 'no' absent a specific named inflection; four_box exercise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and strong ROE support Low-Medium conviction as a value/income holding, but no growth catalyst found to justify more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2026-09-15T15:26:31.356Z</dcterms:created>
  <dcterms:modified xsi:type="dcterms:W3CDTF">2026-09-15T15:26:31.357Z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