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IFCI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Legacy PSU term-lending NBFC (est. 1948) with weak through-cycle returns (ROE ~2.3% 3-yr avg, ROCE ~5.6%, flat 5-yr revenue) - large-cap by market cap; a group-consolidation/disinvestment process is underway but is still in-principle/early-stage, not yet a confirmed named inflection.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IFCI is a government-owned NBFC providing financial support to infrastructure and industrial projects (airports, roads, telecom, power, real estate, manufacturing). Large-cap by market value despite historically weak return metrics. LARGE-CAP fast-track applied per screen rules: default tam=no absent a confirmed, specific named management/structural inflection.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22,172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~2.29% -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~5.58% -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(5-yr)</w:t>
            </w:r>
          </w:p>
        </w:tc>
        <w:tc>
          <w:tcPr>
            <w:tcW w:type="dxa" w:w="5800"/>
          </w:tcPr>
          <w:p>
            <w:r>
              <w:t xml:space="preserve">~-0.05% - flat/declining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~0.43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46.20 - Rs 95.75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IFCI's headline return metrics are weak on a through-cycle basis (3-yr avg ROE ~2.3%, ROCE ~5.6%, essentially flat 5-yr revenue). There are signs of a quarter-level turnaround (Q3 FY26 standalone profit of Rs 6.85 Cr vs a loss of Rs 58.96 Cr in Q3 FY25) and government-directed initiatives - disinvestment of non-core stakes (e.g., NEDFi), an in-principle Department of Financial Services approval for 'Consolidation of IFCI Group' (potential merger/amalgamation of group companies), and a new Deputy MD (Manikumar Sivaramakrishnan, appointed April 2026, ex-Indian Overseas Bank/NABARD). None of this yet rises to a confirmed, completed structural inflection - the group consolidation is still 'in-principle,' and one source explicitly notes the broader financial trend 'remains negative' with declining profitability/sales on other quarterly cuts.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track, no TA needed given the 'neither' disposition.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(large-cap-no-inflection fast track; no deep-dive per screen rules).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- fast track.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trigger found (no going-concern, fraud/SEBI order, promoter-pledge-type or auditor-resignation pattern - PSU with no promoter pledge structure applicable).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Government-directed group consolidation (in-principle DFS approval) and non-core stake disinvestment (NEDFi, and historically SHCIL/ACRE-type sales) could unlock value if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senior management appointment (Deputy MD, April 2026) with relevant banking/NBFC experience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recent quarter (Q3 FY26) showed a swing to profit from a prior-year loss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through-cycle returns: 3-yr avg ROE ~2.3%, ROCE ~5.6%, essentially flat 5-yr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consolidation is still in-principle/early-stage - not a confirmed, executed structural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Mixed signals on the turnaround: at least one source describes the broader financial trend as still negative with declining profitability/sales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PSU NBFC balance-sheet and asset-quality history warrants ongoing scrutiny beyond this fast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22,172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PSU NBFC with weak through-cycle returns (ROE ~2.3%, ROCE ~5.6%, flat revenue); a group-consolidation/disinvestment process is underway but remains in-principle, not a confirmed named inflection. LARGE-CAP fast-track applied: thesis_fit 'neither', conviction Low, no four_box/forum deep-dive per screen rules.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applied: market cap ~Rs 22,172 Cr places IFCI in the large-cap default-tam=no bucket.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 inflections considered - group consolidation (in-principle DFS approval), non-core disinvestment, new Deputy MD - none confirmed as a completed, specific structural/management inflection; one source states the broader financial trend remains negative.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inflection found -&gt; thesis_fit 'neither', conviction Low-Medium capped at Low given the flat 5-yr revenue and sub-3% average ROE; no forum deep-dive performed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2026-09-15T15:10:49.457Z</dcterms:created>
  <dcterms:modified xsi:type="dcterms:W3CDTF">2026-09-15T15:10:49.458Z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