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Indian Renewable Energy Development Agency Ltd (IREDA)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PSU NBFC dedicated to financing renewable-energy and energy-efficiency projects, riding India's clean-energy capex cycle - no specific named structural inflection found; fast large-cap triage only.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IREDA is a Government-of-India-owned, non-deposit-taking NBFC that promotes, develops and finances new/renewable energy and energy-efficiency projects (solar, wind, hydro, etc.). Listed on NSE/BSE (2023 IPO). Business model is straightforward NBFC lending spread economics against the renewable-capex tailwind.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30,775 Cr (down ~26.7% over the past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108.65 - Rs 163.35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~16.5% / ROCE ~9.5% (typical for a levered NBFC)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Revenue ~Rs 8,610 Cr / Profit ~Rs 1,964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Equity</w:t>
            </w:r>
          </w:p>
        </w:tc>
        <w:tc>
          <w:tcPr>
            <w:tcW w:type="dxa" w:w="5800"/>
          </w:tcPr>
          <w:p>
            <w:r>
              <w:t xml:space="preserve">~6.31 (typical high leverage for an NBFC lender, not a standalone risk flag)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IREDA benefits from the broad renewable-energy financing tailwind (India's RE capacity build-out) as a captive PSU lender, with healthy ROE (~16.5%) though the stock has corrected ~27% over the past year, likely reflecting NBFC-sector derating, asset-quality/growth normalisation concerns and rich post-IPO valuations unwinding. No specific named management or structural inflection (a new mandate, large book re-rating catalyst, or named policy change specific to IREDA) surfaced in this fast pass - it is a straightforward sector-tailwind PSU lender rather than a distinctive story.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in detail - fast large-cap triage; stock is down sharply from its 52-week high, but this doesn't change the default call absent a fundamental inflection.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checked - large-cap fast-triage rule (no named inflection) skips forum deep-dive per scope.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surfaced in this fast pass (PSU lender, standard NBFC leverage, no fraud/SEBI action found).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Captive PSU beneficiary of India's renewable-energy capex/financing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Healthy ROE (~16.5%) for a lending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~27% correction over the past year has de-risked valuation somewhat vs post-IPO highs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inflection identified this pass - a generic sector-tailwind lender, not a distinctive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NBFC leverage (D/E ~6.3x) means asset-quality/credit-cost risk is the swing factor, not addressed in depth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large-cap scale (~Rs 30,775 Cr) - limits 10x/100x-type upside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30,775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PSU renewable-energy NBFC lender riding a real but already-well-known sector tailwind - no named inflection found, default 'neither' call, conviction Low-Medium, no forum deep-dive done per fast-triage scope.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Entity confirmed: Indian Renewable Energy Development Agency Ltd, NSE/BSE: IREDA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default rule applied per task instructions: tam scored 'no' absent a specific named inflection; four_box exercise skipped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Decent ROE but standard NBFC leverage profile and a well-known, already-priced sector tailwind support only Low-Medium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 found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2026-09-15T15:26:31.266Z</dcterms:created>
  <dcterms:modified xsi:type="dcterms:W3CDTF">2026-09-15T15:26:31.267Z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