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NLC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Navratna PSU lignite-miner-cum-thermal-power generator explicitly reshaping itself into a diversified renewable-energy player (10 GW target by 2030, green hydrogen/BESS/pumped-storage optionality, a stated green-arm IPO plan) - a genuine, named capital-allocation regime change, but at ~Rs 37,400 Cr and flat revenue, size alone rules out an extreme-return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NLC India Ltd (formerly Neyveli Lignite Corporation) mines lignite and operates thermal power plants, and is now explicitly pivoting toward renewables: a stated corporate target of 10 GW+ renewable capacity by 2030 (from 734 MW operational plus ~5.81 GW under implementation/development, ~2.5 GW under construction), aiming for a ~50:50 conventional/green asset balance, with additional optionality in green hydrogen, battery energy storage, pumped-storage hydro, lignite-to-methanol and a reported plan to IPO its green-energy arm. Confirmed as the exact listed entity matching state.json name via screener.in/tickertape (NSE: NLCINDIA). Seeded via untrusted X triage (@StocksResearch, 2026-09-13, 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37,411 Cr (9-Sep-2026)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228.80 - Rs 387.80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~7.71%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~14.91% (recent), ~11.1%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~-0.30% (flat)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~1.1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~10.62x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P/B</w:t>
            </w:r>
          </w:p>
        </w:tc>
        <w:tc>
          <w:tcPr>
            <w:tcW w:type="dxa" w:w="5800"/>
          </w:tcPr>
          <w:p>
            <w:r>
              <w:t xml:space="preserve">~1.70x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Renewable target</w:t>
            </w:r>
          </w:p>
        </w:tc>
        <w:tc>
          <w:tcPr>
            <w:tcW w:type="dxa" w:w="5800"/>
          </w:tcPr>
          <w:p>
            <w:r>
              <w:t xml:space="preserve">10 GW+ by 2030 (734 MW operational + ~5.81 GW pipeline, ~2.5 GW under construction)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Core lignite/thermal revenue is flat (~-0.3%) and returns are modest (ROCE ~7.7%, ROE ~11-15%) for a PSU carrying D/E ~1.1 - the legacy business alone would not clear this project's bar. What changes the picture is a concrete, already-under-construction renewable build-out (2.5 GW under construction today, 10 GW targeted by 2030, roughly matching the existing thermal fleet) plus real optionality in green hydrogen, BESS and pumped storage, and a reported plan to eventually list the green-energy arm separately - a genuine capital-allocation regime change, not just aspirational language. Valuation remains undemanding (P/E ~10.6x, P/B ~1.7x).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upper-middle of its 52-week range (Rs 228.80-387.80); not pursued further given the large-cap/mega-scale disposition below.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One ValuePickr search attempted (topic_id was null in state.json): forum.valuepickr.com search for 'NLC India' returned only scattered cross-thread mentions (BSS auction wins, buyback offers, passing references in broader PSU/power threads) rather than a single clear dedicated NLC India thread - no confident topic_id/topic_slug match found this pass, so none is being recorded for later patching.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trusted-signal match found in the scattered mentions surfaced.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Navratna PSU with standard PSU governance; no pledge/fraud/going-concern signal surfaced or expected.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Concrete, already-in-motion renewable pivot: 2.5 GW under construction today against a stated 10 GW-by-2030 target, aiming for a 50:50 conventional/green balance - a real, named capital-allocation regime change, not just an aspiration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optionality in green hydrogen, BESS, pumped-storage hydro and a reported plan to eventually IPO the green-energy arm (a potential value-unlock event)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Undemanding valuation (P/E ~10.6x, P/B ~1.7x) for a PSU with captive lignite reserves and Navratna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policy tailwind strongly supports the renewable buildout (land, financing, offtake all favourable for PSU renewable developers)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lignite/thermal revenue is flat (~-0.3%) and returns are modest (ROCE ~7.7%) - the legacy business is not growing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37,400 Cr and with flat overall revenue, a 10x-in-2-3-years or 100x-in-10-years outcome is not mathematically credible even with a successful renewable pivot - at best this is a multi-year re-rating/compounder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~1.1 is relatively elevated for a utility mid-transition; renewable capex will require continued heavy funding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single dedicated ValuePickr thread confidently resolved this pass - community conviction/coverage on the renewable pivot specifically is not yet established from the forum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PSU (~Rs 37,400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Confirmed named structural/capital-allocation inflection (10 GW renewable target by 2030, 2.5 GW already under construction, reported green-arm IPO plan) overrides the large-cap 'tam: no' default. Valuation undemanding (P/E ~10.6x, P/B ~1.7x). Moat weak because PSU/lignite advantages don't clearly carry over to competitive renewable generation. Despite the supportive score, thesis_fit remains 'neither' given market cap and flat legacy revenue rule out extreme-return math (no 10x/100x label applied - no analyst_override needed since none was warranted).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named renewable-energy capital-allocation pivot (10 GW by 2030, already under construction) at a Navratna PSU trading on an undemanding multiple - the inflection is genuine, but size and the flat legacy revenue base rule out this project's extreme-return math. four_box = 3.0 (inflection confirmed),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rule: tam set to 'yes' (not the 'no' default) because a specific, named, already-in-motion structural/capital-allocation inflection was found - the 10 GW renewable target with 2.5 GW under construction and a reported green-arm IPO plan, not generic 'good business' language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explicit renewable/government-policy tailwind; tam yes - confirmed named inflection per above; moat weak - PSU/lignite legacy advantages don't clearly transfer to a competitive renewable-generation market; valuation yes - P/E ~10.6x, P/B ~1.7x is undemanding)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with a confirmed inflection and a supportive score, thesis_fit stays 'neither': at ~Rs 37,400 Cr market cap with flat core revenue, a literal 10x-in-2-3-years or 100x-in-10-years outcome is not credible - this reads as a legitimate multi-year re-rating/compounder candidate, not an extreme-return multibagger, consistent with how this project treats large, already-de-risked names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Medium (above the large-cap-no-inflection default of Low-Medium) specifically because the inflection is real and already under construction, not merely aspirational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 as NLC India Ltd (NSE: NLCINDIA) matching state.json name exactly; no confident forum topic_id found this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2026-09-13T11:06:05.190Z</dcterms:created>
  <dcterms:modified xsi:type="dcterms:W3CDTF">2026-09-13T11:06:05.190Z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