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Nestle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Mega-cap FMCG staple - exceptional ROCE/ROE and debt-free balance sheet with reaccelerating revenue growth, but no named management/structural inflection was found this pass, so the large-cap default (no thesis fit, fast write-up only) applies despite the bullish X view.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Nestle India Ltd (NSE/BSE: NESTLEIND) is the India arm of the global Nestle FMCG group, spanning packaged foods, beverages, dairy, confectionery and nutrition. Entity is unambiguous (well-known mega-cap FMCG staple, name matches state.json exactly).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2,89,286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1,084.70 - Rs 1,553.00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57.17%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79.99%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(FY26)</w:t>
            </w:r>
          </w:p>
        </w:tc>
        <w:tc>
          <w:tcPr>
            <w:tcW w:type="dxa" w:w="5800"/>
          </w:tcPr>
          <w:p>
            <w:r>
              <w:t xml:space="preserve">+14.6% YoY (Rs 23,155 Cr vs Rs 20,202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0.19)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Nestle India's profitability metrics are exceptional even by FMCG-staple standards (ROCE 57%, ROE 80%), the balance sheet is essentially debt-free, and FY26 revenue growth reaccelerated to ~14.6% YoY. This is a high-quality compounder by any conventional measure, but no specific named inflection (new CEO turnaround, regulatory/structural shift, capital-allocation regime change) was identified this pass - the improvement looks like continuation of an already-strong franchise rather than a discrete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Rs 1,084.70-1,553.00 range over the past year; not pulled in further detail given the fast-lane large-cap treatment.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large-cap-no-inflection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large-cap fast lane.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ROCE (57%) and ROE (80%), essentially debt-free, with FY26 revenue growth reaccelerating to ~14.6%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(@r_laroia) flagged a bullish, medium-conviction view, which the strong reported numbers do not contradict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found this pass - large-cap default applies, capping thesis_fit and conviction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FMCG staples typically command full valuations that limit re-rating upside even when fundamentals are strong (valuation not separately re-verified this pass)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2,89,286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to 'no' because no specific named management/structural inflection was found this pass; tailwind yes (staple FMCG demand plus reaccelerating growth) and moat yes (brand strength, distribution) are both strong; valuation weak given typical full multiples on mega-cap FMCG staples (not separately re-verified this pass).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is the well-known Nestle India Ltd. Exceptional ROCE/ROE and debt-free balance sheet with reaccelerating growth, but no named inflection found - large-cap default applies: thesis_fit 'neither', Medium conviction (quality is genuinely high), no forum deep-dive.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Large-cap/mega-cap (Nestle India is explicitly named in the batch instructions as large/mega-cap) - default tam:no applied since no specific named inflection was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set to Medium (upper end of the Low-Medium ceiling) given genuinely exceptional ROCE/ROE/growth/debt metrics; no forum deep-dive performed.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2026-09-13T06:25:22.553Z</dcterms:created>
  <dcterms:modified xsi:type="dcterms:W3CDTF">2026-09-13T06:25:22.554Z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