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Powerica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Diesel/gas generator-set and wind-power (IPP/EPC/O&amp;M) company riding backup-power demand (data centers, telecom, industrial capex), but moderate returns (ROCE ~12.8%, ROE ~10.7%), a full-ish valuation, and a live Bombay High Court family/promoter dispute challenging past buybacks as 'void ab initio' - a real legal overhang.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Powerica manufactures and sells diesel generator (DG) sets and Medium Speed Large Generators (MSLG) for backup/main power, plus a wind-power business (IPP, EPC &amp; O&amp;M). Newly listed (2025 IPO). Revenue and profit growth have been strong recently (Q1 FY26 sales +26.7% YoY to Rs 780 Cr) on the back of India's power-backup demand cycle (data centers, telecom towers, industrial capex).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6,259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3,176 Cr; Profit ~Rs 291 Cr (implied P/E ~21.5x)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~12.84%; ROE ~10.71%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Q1 FY26 sales +26.7% YoY; double-digit growth guided for FY27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Interest coverage</w:t>
            </w:r>
          </w:p>
        </w:tc>
        <w:tc>
          <w:tcPr>
            <w:tcW w:type="dxa" w:w="5800"/>
          </w:tcPr>
          <w:p>
            <w:r>
              <w:t xml:space="preserve">~6.33x - adequate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365.10 - Rs 675.00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Powerica is benefiting from a genuine backup-power demand cycle, with double-digit revenue growth guided into FY27 and a comfortable interest-coverage ratio. But capital efficiency is only moderate (ROCE ~12.8%, ROE ~10.7%) for a business without an obvious technology or brand moat - DG sets are a relatively commoditised, competitively bid product category. At ~21.5x earnings for these return metrics, the stock is not obviously cheap.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trades roughly mid-range of its Rs 365-675 52-week band; thesis rests on fundamentals, not chart position.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check performed this pass (recently listed company, fast-triage budget; topic_id remained null, not resolved). Assessment is web/filings-based 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AVOID/EXCLUDE/HIGH CAUTION trigger (no negative net worth, no SEBI/fraud order, no promoter-pledge or auditor-resignation pattern found). However, the company's own IPO RHP disclosed a civil suit in the Bombay High Court (the 'Vania Oberoi' family dispute) challenging past buyback transactions and the current shareholding structure as 'void ab initio' - a live legal overhang on the promoter/capital structure that any adverse ruling could affect. Not AVOID-tier (no going-concern or fraud finding) but a real risk to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backup-power demand tailwind: data-center, telecom-tower and industrial capex driving DG-set and MSLG demand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recent growth (Q1 FY26 sales +26.7% YoY) with double-digit growth guided for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Adequate balance sheet (interest coverage ~6.33x)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Diversification into wind-power IPP/EPC/O&amp;M adds a renewables growth leg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Bombay High Court family/promoter dispute challenging past buybacks and the current shareholding structure as 'void ab initio' - an unresolved legal overhang on capital structure and stock stability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moderate capital efficiency (ROCE ~12.8%, ROE ~10.7%) for the ~21.5x earnings multiple - not obviously cheap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DG-set manufacturing is a relatively commoditised, competitively bid category without a clear structural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Recently listed (2025 IPO) - limited multi-year public track record to validate through-cycle consistency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6,259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Genuine backup-power demand tailwind, but a mature/commoditised DG-set TAM, no clear structural moat, and a full ~21.5x multiple for moderate ROCE/ROE keep the score in the 'neither'-default band; a live promoter/buyback legal dispute is an added unquantified risk.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backup-power demand tailwind and strong recent growth, but only moderate ROCE/ROE, a full-ish ~21.5x multiple, and a live, unresolved family/promoter legal dispute over past buybacks keep this out of a 10x/100x framing.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2.5 (tailwind yes - genuine backup-power demand cycle; tam weak - DG-set market is large but mature, not explosive; moat weak - commoditised, competitively bid category; valuation weak - ~21.5x earnings for ROCE ~12.8%/ROE ~10.7% is not cheap).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in the 2.0-2.5 band defaults to 'neither' per policy; no explicit exception written given the unresolved legal overhang on the promoter/capital structure adds real, unquantified risk.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red-flag-tier trigger (no going concern, fraud, pledge, or auditor issue), but the Bombay High Court buyback-validity suit is noted prominently in bear_case as a live risk investors should track via the case docket and future RHP-style disclosures.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topic_id not resolved this pass (recently listed; fast-triage budget) - candidate for a forum-thread check in a later pass if promoted.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2026-09-15T15:10:49.319Z</dcterms:created>
  <dcterms:modified xsi:type="dcterms:W3CDTF">2026-09-15T15:10:49.319Z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