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5F"/>
          <w:sz w:val="44"/>
          <w:szCs w:val="44"/>
        </w:rPr>
        <w:t xml:space="preserve">Prevest Denpro Ltd</w:t>
      </w:r>
    </w:p>
    <w:p>
      <w:pPr>
        <w:pBdr>
          <w:bottom w:val="single" w:color="CCCCCC" w:sz="6" w:space="8"/>
        </w:pBdr>
        <w:spacing w:after="200"/>
      </w:pPr>
      <w:r>
        <w:rPr>
          <w:i/>
          <w:iCs/>
          <w:color w:val="666666"/>
          <w:sz w:val="22"/>
          <w:szCs w:val="22"/>
        </w:rPr>
        <w:t xml:space="preserve">High-margin dental products compounder undercut by a community-flagged governance red flag on management pay</w:t>
      </w:r>
    </w:p>
    <w:p>
      <w:pPr>
        <w:pStyle w:val="Heading1"/>
        <w:spacing w:after="120" w:before="280"/>
      </w:pPr>
      <w:r>
        <w:t xml:space="preserve">Business Overview</w:t>
      </w:r>
    </w:p>
    <w:p>
      <w:pPr>
        <w:spacing w:after="120"/>
      </w:pPr>
      <w:r>
        <w:t xml:space="preserve">Prevest Denpro manufactures dental restorative and consumable products, competing against MNC brands (3M, Shofu, Ivoclar) at a lower price point, with a domestic and growing international footprint.</w:t>
      </w:r>
    </w:p>
    <w:p>
      <w:pPr>
        <w:pStyle w:val="Heading1"/>
        <w:spacing w:after="120" w:before="280"/>
      </w:pPr>
      <w:r>
        <w:t xml:space="preserve">Fundamentals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Market Cap</w:t>
            </w:r>
          </w:p>
        </w:tc>
        <w:tc>
          <w:tcPr>
            <w:tcW w:type="dxa" w:w="5800"/>
          </w:tcPr>
          <w:p>
            <w:r>
              <w:t xml:space="preserve">Rs 484 Cr</w:t>
            </w:r>
          </w:p>
        </w:tc>
      </w:tr>
      <w:tr>
        <w:tc>
          <w:tcPr>
            <w:tcW w:type="dxa" w:w="3200"/>
            <w:shd w:fill="F2F2F2" w:val="clear"/>
          </w:tcPr>
          <w:p>
            <w:r>
              <w:rPr>
                <w:b/>
                <w:bCs/>
              </w:rPr>
              <w:t xml:space="preserve">ROE</w:t>
            </w:r>
          </w:p>
        </w:tc>
        <w:tc>
          <w:tcPr>
            <w:tcW w:type="dxa" w:w="5800"/>
          </w:tcPr>
          <w:p>
            <w:r>
              <w:t xml:space="preserve">20.08%</w:t>
            </w:r>
          </w:p>
        </w:tc>
      </w:tr>
      <w:tr>
        <w:tc>
          <w:tcPr>
            <w:tcW w:type="dxa" w:w="3200"/>
            <w:shd w:fill="F2F2F2" w:val="clear"/>
          </w:tcPr>
          <w:p>
            <w:r>
              <w:rPr>
                <w:b/>
                <w:bCs/>
              </w:rPr>
              <w:t xml:space="preserve">EBITDA margin</w:t>
            </w:r>
          </w:p>
        </w:tc>
        <w:tc>
          <w:tcPr>
            <w:tcW w:type="dxa" w:w="5800"/>
          </w:tcPr>
          <w:p>
            <w:r>
              <w:t xml:space="preserve">39.8%</w:t>
            </w:r>
          </w:p>
        </w:tc>
      </w:tr>
      <w:tr>
        <w:tc>
          <w:tcPr>
            <w:tcW w:type="dxa" w:w="3200"/>
            <w:shd w:fill="F2F2F2" w:val="clear"/>
          </w:tcPr>
          <w:p>
            <w:r>
              <w:rPr>
                <w:b/>
                <w:bCs/>
              </w:rPr>
              <w:t xml:space="preserve">Revenue growth (FY25-26)</w:t>
            </w:r>
          </w:p>
        </w:tc>
        <w:tc>
          <w:tcPr>
            <w:tcW w:type="dxa" w:w="5800"/>
          </w:tcPr>
          <w:p>
            <w:r>
              <w:t xml:space="preserve">+13.6%; EBITDA +16.6%, PAT +17.6% YoY</w:t>
            </w:r>
          </w:p>
        </w:tc>
      </w:tr>
      <w:tr>
        <w:tc>
          <w:tcPr>
            <w:tcW w:type="dxa" w:w="3200"/>
            <w:shd w:fill="F2F2F2" w:val="clear"/>
          </w:tcPr>
          <w:p>
            <w:r>
              <w:rPr>
                <w:b/>
                <w:bCs/>
              </w:rPr>
              <w:t xml:space="preserve">Debt</w:t>
            </w:r>
          </w:p>
        </w:tc>
        <w:tc>
          <w:tcPr>
            <w:tcW w:type="dxa" w:w="5800"/>
          </w:tcPr>
          <w:p>
            <w:r>
              <w:t xml:space="preserve">Almost debt-free</w:t>
            </w:r>
          </w:p>
        </w:tc>
      </w:tr>
      <w:tr>
        <w:tc>
          <w:tcPr>
            <w:tcW w:type="dxa" w:w="3200"/>
            <w:shd w:fill="F2F2F2" w:val="clear"/>
          </w:tcPr>
          <w:p>
            <w:r>
              <w:rPr>
                <w:b/>
                <w:bCs/>
              </w:rPr>
              <w:t xml:space="preserve">52-week range</w:t>
            </w:r>
          </w:p>
        </w:tc>
        <w:tc>
          <w:tcPr>
            <w:tcW w:type="dxa" w:w="5800"/>
          </w:tcPr>
          <w:p>
            <w:r>
              <w:t xml:space="preserve">Stock down ~34.6% from 52-week high, up ~27.9% from 52-week low as of Aug 2026</w:t>
            </w:r>
          </w:p>
        </w:tc>
      </w:tr>
    </w:tbl>
    <w:p>
      <w:pPr>
        <w:spacing w:after="100"/>
      </w:pPr>
    </w:p>
    <w:p>
      <w:pPr>
        <w:spacing w:after="120"/>
      </w:pPr>
      <w:r>
        <w:t xml:space="preserve">35%+ standalone EBITDA margins (39.8%, +80bps YoY), ROCE 52.16% (FY26, a materially higher and better-sourced figure than the prior pass's estimate), cash-rich and almost debt-free -- and growth is ACCELERATING, not slowing: Q1FY27 revenue +20.94% and PAT +27.99% YoY, both ahead of FY26's full-year 13.9%/12.9%. Export growth (~17.6% FY26) continues to outpace the overall rate, corroborating the community scuttlebutt on genuine dentist-level brand loyalty and international runway. A new independent director was appointed in 2026, a real governance step. The catch remains exactly what the community thread surfaced: this pass could not independently confirm or refute the specific, quantified directors'-remuneration claim (~23% of PAT) from primary filings -- only the CEO's own Rs1.2cr comp (~5.6% of PAT) was sourced, not the full board/related-party schedule. The stock's ~33% 1-year de-rating despite accelerating fundamentals is consistent with the market still pricing that unresolved overhang.</w:t>
      </w:r>
    </w:p>
    <w:p>
      <w:pPr>
        <w:pStyle w:val="Heading1"/>
        <w:spacing w:after="120" w:before="280"/>
      </w:pPr>
      <w:r>
        <w:t xml:space="preserve">Deep-Dive: Primary Documents (Annual Reports, Quarterly Results, Exchange Filings)</w:t>
      </w:r>
    </w:p>
    <w:p>
      <w:pPr>
        <w:spacing w:after="120"/>
      </w:pPr>
      <w:r>
        <w:rPr>
          <w:i/>
          <w:iCs/>
          <w:color w:val="666666"/>
          <w:sz w:val="18"/>
          <w:szCs w:val="18"/>
        </w:rPr>
        <w:t xml:space="preserve">Pass 1 — 2026-09-12. Built from the company's own filings (3 years of annual reports, ~4 quarters of results/concalls, and 6 months of BSE/NSE announcements), read via the web — a deeper layer than the forum-sentiment read below.</w:t>
      </w:r>
    </w:p>
    <w:p>
      <w:pPr>
        <w:spacing w:after="120"/>
      </w:pPr>
      <w:r>
        <w:rPr>
          <w:b/>
          <w:bCs/>
          <w:sz w:val="20"/>
          <w:szCs w:val="20"/>
        </w:rPr>
        <w:t xml:space="preserve">Sources reviewed this pass:</w:t>
      </w:r>
    </w:p>
    <w:p>
      <w:pPr>
        <w:pStyle w:val="ListParagraph"/>
        <w:numPr>
          <w:ilvl w:val="0"/>
          <w:numId w:val="1"/>
        </w:numPr>
        <w:spacing w:after="60"/>
      </w:pPr>
      <w:r>
        <w:t xml:space="preserve">FY26 annual results (consol revenue Rs71.81cr +13.9%, consol PAT Rs20.49cr +12.9%, ROCE 52.16%)</w:t>
      </w:r>
    </w:p>
    <w:p>
      <w:pPr>
        <w:pStyle w:val="ListParagraph"/>
        <w:numPr>
          <w:ilvl w:val="0"/>
          <w:numId w:val="1"/>
        </w:numPr>
        <w:spacing w:after="60"/>
      </w:pPr>
      <w:r>
        <w:t xml:space="preserve">Q1FY26-Q1FY27 quarterly results</w:t>
      </w:r>
    </w:p>
    <w:p>
      <w:pPr>
        <w:pStyle w:val="ListParagraph"/>
        <w:numPr>
          <w:ilvl w:val="0"/>
          <w:numId w:val="1"/>
        </w:numPr>
        <w:spacing w:after="60"/>
      </w:pPr>
      <w:r>
        <w:t xml:space="preserve">BSE/NSE announcements ~6mo (independent director appointment, FY26 dividend, AGM notice)</w:t>
      </w:r>
    </w:p>
    <w:p>
      <w:pPr>
        <w:spacing w:after="120"/>
      </w:pPr>
      <w:r>
        <w:rPr>
          <w:b/>
          <w:bCs/>
          <w:sz w:val="20"/>
          <w:szCs w:val="20"/>
        </w:rPr>
        <w:t xml:space="preserve">Annual-report findings (3-year view):</w:t>
      </w:r>
    </w:p>
    <w:p>
      <w:pPr>
        <w:pStyle w:val="ListParagraph"/>
        <w:numPr>
          <w:ilvl w:val="0"/>
          <w:numId w:val="1"/>
        </w:numPr>
        <w:spacing w:after="60"/>
      </w:pPr>
      <w:r>
        <w:t xml:space="preserve">FY26 consol revenue Rs71.81cr (+13.9%), consol PAT Rs20.49cr (+12.9%); standalone PAT Rs21.42cr (+17.6%), PAT margin ~28.5% consol, standalone EBITDA margin 39.8% (+80bps YoY)</w:t>
      </w:r>
    </w:p>
    <w:p>
      <w:pPr>
        <w:pStyle w:val="ListParagraph"/>
        <w:numPr>
          <w:ilvl w:val="0"/>
          <w:numId w:val="1"/>
        </w:numPr>
        <w:spacing w:after="60"/>
      </w:pPr>
      <w:r>
        <w:t xml:space="preserve">ROCE 52.16% FY26 (a materially higher, more authoritative figure than the prior pass's 25% estimate) - consistent in direction with the existing track_record note's '25-47% throughout FY20-26', now printing above that range</w:t>
      </w:r>
    </w:p>
    <w:p>
      <w:pPr>
        <w:pStyle w:val="ListParagraph"/>
        <w:numPr>
          <w:ilvl w:val="0"/>
          <w:numId w:val="1"/>
        </w:numPr>
        <w:spacing w:after="60"/>
      </w:pPr>
      <w:r>
        <w:t xml:space="preserve">CEO (Atul Modi, also promoter, owns 37.52% of the company) total comp Rs1.2cr, 100% salary, no bonus - only ~5.6% of FY26 consol PAT on its own; total BOARD remuneration (incl. Namrata Modi WTD/CFO, Sai Kalyan Surapaneni ED, and any related-party marketing role) not separately sourced this pass</w:t>
      </w:r>
    </w:p>
    <w:p>
      <w:pPr>
        <w:pStyle w:val="ListParagraph"/>
        <w:numPr>
          <w:ilvl w:val="0"/>
          <w:numId w:val="1"/>
        </w:numPr>
        <w:spacing w:after="60"/>
      </w:pPr>
      <w:r>
        <w:t xml:space="preserve">A new independent director (Nikhil Shrikant Bobade) was appointed for a 5-year term in 2026 - a real, positive governance step since the community-flagged concern surfaced</w:t>
      </w:r>
    </w:p>
    <w:p>
      <w:pPr>
        <w:pStyle w:val="ListParagraph"/>
        <w:numPr>
          <w:ilvl w:val="0"/>
          <w:numId w:val="1"/>
        </w:numPr>
        <w:spacing w:after="60"/>
      </w:pPr>
      <w:r>
        <w:t xml:space="preserve">Almost debt-free; FY26 board recommended a Rs1/share (10%) final dividend</w:t>
      </w:r>
    </w:p>
    <w:p>
      <w:pPr>
        <w:pStyle w:val="ListParagraph"/>
        <w:numPr>
          <w:ilvl w:val="0"/>
          <w:numId w:val="1"/>
        </w:numPr>
        <w:spacing w:after="60"/>
      </w:pPr>
      <w:r>
        <w:t xml:space="preserve">Export revenue growth (~17.6% FY26) continues to outpace overall growth (13.9%), corroborating the 'genuine international runway' bull case</w:t>
      </w:r>
    </w:p>
    <w:p>
      <w:pPr>
        <w:spacing w:after="120"/>
      </w:pPr>
      <w:r>
        <w:rPr>
          <w:b/>
          <w:bCs/>
          <w:sz w:val="20"/>
          <w:szCs w:val="20"/>
        </w:rPr>
        <w:t xml:space="preserve">Quarterly trend (last ~4 quarters + concall commentary):</w:t>
      </w:r>
    </w:p>
    <w:p>
      <w:pPr>
        <w:pStyle w:val="ListParagraph"/>
        <w:numPr>
          <w:ilvl w:val="0"/>
          <w:numId w:val="1"/>
        </w:numPr>
        <w:spacing w:after="60"/>
      </w:pPr>
      <w:r>
        <w:t xml:space="preserve">FY26 full year: revenue +13.9%, PAT +12.9% (consol) / +17.6% (standalone)</w:t>
      </w:r>
    </w:p>
    <w:p>
      <w:pPr>
        <w:pStyle w:val="ListParagraph"/>
        <w:numPr>
          <w:ilvl w:val="0"/>
          <w:numId w:val="1"/>
        </w:numPr>
        <w:spacing w:after="60"/>
      </w:pPr>
      <w:r>
        <w:t xml:space="preserve">Q1FY27: revenue Rs19.07cr (+20.94% YoY), PAT Rs5.64cr (+27.99% YoY) - growth ACCELERATING versus the FY26 full-year rate, a positive new signal</w:t>
      </w:r>
    </w:p>
    <w:p>
      <w:pPr>
        <w:pStyle w:val="ListParagraph"/>
        <w:numPr>
          <w:ilvl w:val="0"/>
          <w:numId w:val="1"/>
        </w:numPr>
        <w:spacing w:after="60"/>
      </w:pPr>
      <w:r>
        <w:t xml:space="preserve">No one-offs or margin surprises flagged in the sourced Q1FY27 summary</w:t>
      </w:r>
    </w:p>
    <w:p>
      <w:pPr>
        <w:spacing w:after="120"/>
      </w:pPr>
      <w:r>
        <w:rPr>
          <w:b/>
          <w:bCs/>
          <w:sz w:val="20"/>
          <w:szCs w:val="20"/>
        </w:rPr>
        <w:t xml:space="preserve">Exchange announcements (last 6 months):</w:t>
      </w:r>
    </w:p>
    <w:p>
      <w:pPr>
        <w:pStyle w:val="ListParagraph"/>
        <w:numPr>
          <w:ilvl w:val="0"/>
          <w:numId w:val="1"/>
        </w:numPr>
        <w:spacing w:after="60"/>
      </w:pPr>
      <w:r>
        <w:t xml:space="preserve">2026: independent director Nikhil Shrikant Bobade appointed for a 5-year term</w:t>
      </w:r>
    </w:p>
    <w:p>
      <w:pPr>
        <w:pStyle w:val="ListParagraph"/>
        <w:numPr>
          <w:ilvl w:val="0"/>
          <w:numId w:val="1"/>
        </w:numPr>
        <w:spacing w:after="60"/>
      </w:pPr>
      <w:r>
        <w:t xml:space="preserve">FY26 final dividend of Rs1/share (10%) recommended, record date set ahead of the 27th AGM (2026-09-17)</w:t>
      </w:r>
    </w:p>
    <w:p>
      <w:pPr>
        <w:pStyle w:val="ListParagraph"/>
        <w:numPr>
          <w:ilvl w:val="0"/>
          <w:numId w:val="1"/>
        </w:numPr>
        <w:spacing w:after="60"/>
      </w:pPr>
      <w:r>
        <w:t xml:space="preserve">Market cap ~Rs486cr, down ~33.2% over 1 year despite continued double-digit growth - a valuation de-rating, plausibly the market pricing in the governance overhang the ValuePickr thread surfaced</w:t>
      </w:r>
    </w:p>
    <w:p>
      <w:pPr>
        <w:spacing w:after="120"/>
      </w:pPr>
      <w:r>
        <w:rPr>
          <w:b/>
          <w:bCs/>
          <w:sz w:val="20"/>
          <w:szCs w:val="20"/>
        </w:rPr>
        <w:t xml:space="preserve">Key new facts vs. the prior write-up:</w:t>
      </w:r>
    </w:p>
    <w:p>
      <w:pPr>
        <w:pStyle w:val="ListParagraph"/>
        <w:numPr>
          <w:ilvl w:val="0"/>
          <w:numId w:val="1"/>
        </w:numPr>
        <w:spacing w:after="60"/>
      </w:pPr>
      <w:r>
        <w:t xml:space="preserve">Growth is ACCELERATING (Q1FY27 +20.94%/+27.99% vs FY26 full-year +13.9%/+12.9%), not decelerating - a genuine positive the prior pass, built mostly from the forum thread, did not carry with this precision</w:t>
      </w:r>
    </w:p>
    <w:p>
      <w:pPr>
        <w:pStyle w:val="ListParagraph"/>
        <w:numPr>
          <w:ilvl w:val="0"/>
          <w:numId w:val="1"/>
        </w:numPr>
        <w:spacing w:after="60"/>
      </w:pPr>
      <w:r>
        <w:t xml:space="preserve">ROCE (52.16% FY26, sourced from a more authoritative aggregation) is materially higher than the prior pass's estimate (25%), reinforcing the 'excellent business economics' read</w:t>
      </w:r>
    </w:p>
    <w:p>
      <w:pPr>
        <w:pStyle w:val="ListParagraph"/>
        <w:numPr>
          <w:ilvl w:val="0"/>
          <w:numId w:val="1"/>
        </w:numPr>
        <w:spacing w:after="60"/>
      </w:pPr>
      <w:r>
        <w:t xml:space="preserve">A new independent director was added in 2026 - the kind of concrete governance step that should, over time, address board-composition concerns, though it does not by itself resolve the specific directors'-remuneration flag</w:t>
      </w:r>
    </w:p>
    <w:p>
      <w:pPr>
        <w:spacing w:after="120"/>
      </w:pPr>
      <w:r>
        <w:rPr>
          <w:b/>
          <w:bCs/>
          <w:sz w:val="20"/>
          <w:szCs w:val="20"/>
        </w:rPr>
        <w:t xml:space="preserve">Open questions / what to watch:</w:t>
      </w:r>
    </w:p>
    <w:p>
      <w:pPr>
        <w:pStyle w:val="ListParagraph"/>
        <w:numPr>
          <w:ilvl w:val="0"/>
          <w:numId w:val="1"/>
        </w:numPr>
        <w:spacing w:after="60"/>
      </w:pPr>
      <w:r>
        <w:t xml:space="preserve">Could NOT independently confirm or refute the community-flagged '23% of PAT and rising' total directors'-remuneration claim from primary filings this pass - only the CEO's individual Rs1.2cr comp (~5.6% of PAT) was sourced; the full related-party/remuneration schedule (covering the promoter-family WTD, ED, and the reported son-in-law marketing role) would need a direct annual-report PDF pull beyond this pass's search budget</w:t>
      </w:r>
    </w:p>
    <w:p>
      <w:pPr>
        <w:pStyle w:val="ListParagraph"/>
        <w:numPr>
          <w:ilvl w:val="0"/>
          <w:numId w:val="1"/>
        </w:numPr>
        <w:spacing w:after="60"/>
      </w:pPr>
      <w:r>
        <w:t xml:space="preserve">Why the stock has de-rated ~33% over 1 year despite accelerating growth and high ROCE - consistent with the market pricing the governance overhang, but not confirmed</w:t>
      </w:r>
    </w:p>
    <w:p>
      <w:pPr>
        <w:pStyle w:val="ListParagraph"/>
        <w:numPr>
          <w:ilvl w:val="0"/>
          <w:numId w:val="1"/>
        </w:numPr>
        <w:spacing w:after="60"/>
      </w:pPr>
      <w:r>
        <w:t xml:space="preserve">commitments/earnings_chain/catalyst left empty/null this pass - no dated management guidance or concall transcript was sourced from web search for this small, thinly-covered SME; value_chain/earnings_quality/growth_trajectory/management_quality WERE built from the same annual-report/quarterly read</w:t>
      </w:r>
    </w:p>
    <w:p>
      <w:pPr>
        <w:spacing w:after="120" w:before="120"/>
      </w:pPr>
      <w:r>
        <w:rPr>
          <w:b/>
          <w:bCs/>
          <w:sz w:val="20"/>
          <w:szCs w:val="20"/>
        </w:rPr>
        <w:t xml:space="preserve">Conviction impact: </w:t>
      </w:r>
      <w:r>
        <w:rPr>
          <w:sz w:val="20"/>
          <w:szCs w:val="20"/>
        </w:rPr>
        <w:t xml:space="preserve">Low-Medium -&gt; Low-Medium (unchanged). Operational execution is genuinely strong and accelerating, and a new independent director is a real positive governance step, but this pass could not independently verify or refute the specific, quantified governance flag (directors' remuneration ~23% of PAT) that the community thread identified and that is the sole reason conviction sits below what the fundamentals alone would justify. Holding conviction rather than raising it until that specific claim is checked against the primary remuneration schedule.</w:t>
      </w:r>
    </w:p>
    <w:p>
      <w:pPr>
        <w:pStyle w:val="Heading1"/>
        <w:spacing w:after="120" w:before="280"/>
      </w:pPr>
      <w:r>
        <w:t xml:space="preserve">Guidance &amp; Expectation Gap</w:t>
      </w:r>
    </w:p>
    <w:p>
      <w:pPr>
        <w:spacing w:after="120"/>
      </w:pPr>
      <w:r>
        <w:rPr>
          <w:i/>
          <w:iCs/>
          <w:color w:val="666666"/>
          <w:sz w:val="18"/>
          <w:szCs w:val="18"/>
        </w:rPr>
        <w:t xml:space="preserve">Management guidance decoded into commitments, graded on the expectation → action → operational → commercial → financial ladder, then compared to what the current price appears to assume. Method: playbook/guidance-and-expectation-gap.md.</w:t>
      </w:r>
    </w:p>
    <w:p>
      <w:pPr>
        <w:spacing w:after="120"/>
      </w:pPr>
      <w:r>
        <w:rPr>
          <w:b/>
          <w:bCs/>
          <w:sz w:val="20"/>
          <w:szCs w:val="20"/>
        </w:rPr>
        <w:t xml:space="preserve">Market expectation vs. our path: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 of</w:t>
            </w:r>
          </w:p>
        </w:tc>
        <w:tc>
          <w:tcPr>
            <w:tcW w:type="dxa" w:w="5800"/>
          </w:tcPr>
          <w:p>
            <w:r>
              <w:t xml:space="preserve">2026-09-12</w:t>
            </w:r>
          </w:p>
        </w:tc>
      </w:tr>
      <w:tr>
        <w:tc>
          <w:tcPr>
            <w:tcW w:type="dxa" w:w="3200"/>
            <w:shd w:fill="F2F2F2" w:val="clear"/>
          </w:tcPr>
          <w:p>
            <w:r>
              <w:rPr>
                <w:b/>
                <w:bCs/>
              </w:rPr>
              <w:t xml:space="preserve">Price / multiple</w:t>
            </w:r>
          </w:p>
        </w:tc>
        <w:tc>
          <w:tcPr>
            <w:tcW w:type="dxa" w:w="5800"/>
          </w:tcPr>
          <w:p>
            <w:r>
              <w:t xml:space="preserve">Rs 387 · 20.6x P/E · 13x EV/EBITDA</w:t>
            </w:r>
          </w:p>
        </w:tc>
      </w:tr>
      <w:tr>
        <w:tc>
          <w:tcPr>
            <w:tcW w:type="dxa" w:w="3200"/>
            <w:shd w:fill="F2F2F2" w:val="clear"/>
          </w:tcPr>
          <w:p>
            <w:r>
              <w:rPr>
                <w:b/>
                <w:bCs/>
              </w:rPr>
              <w:t xml:space="preserve">Right valuation lens</w:t>
            </w:r>
          </w:p>
        </w:tc>
        <w:tc>
          <w:tcPr>
            <w:tcW w:type="dxa" w:w="5800"/>
          </w:tcPr>
          <w:p>
            <w:r>
              <w:t xml:space="preserve">P/E</w:t>
            </w:r>
          </w:p>
        </w:tc>
      </w:tr>
      <w:tr>
        <w:tc>
          <w:tcPr>
            <w:tcW w:type="dxa" w:w="3200"/>
            <w:shd w:fill="F2F2F2" w:val="clear"/>
          </w:tcPr>
          <w:p>
            <w:r>
              <w:rPr>
                <w:b/>
                <w:bCs/>
              </w:rPr>
              <w:t xml:space="preserve">Price implies</w:t>
            </w:r>
          </w:p>
        </w:tc>
        <w:tc>
          <w:tcPr>
            <w:tcW w:type="dxa" w:w="5800"/>
          </w:tcPr>
          <w:p>
            <w:r>
              <w:t xml:space="preserve">~21x trailing earnings for a debt-free ~25% ROCE dental-consumables maker; against a ~20-24x exit this needs only ~12-15% EPS CAGR to be fair -- roughly the rate the company has delivered, so the multiple prices continuation, not acceleration</w:t>
            </w:r>
          </w:p>
        </w:tc>
      </w:tr>
      <w:tr>
        <w:tc>
          <w:tcPr>
            <w:tcW w:type="dxa" w:w="3200"/>
            <w:shd w:fill="F2F2F2" w:val="clear"/>
          </w:tcPr>
          <w:p>
            <w:r>
              <w:rPr>
                <w:b/>
                <w:bCs/>
              </w:rPr>
              <w:t xml:space="preserve">Our FY27</w:t>
            </w:r>
          </w:p>
        </w:tc>
        <w:tc>
          <w:tcPr>
            <w:tcW w:type="dxa" w:w="5800"/>
          </w:tcPr>
          <w:p>
            <w:r>
              <w:t xml:space="preserve">Q1FY27 (+20.94% revenue, +27.99% PAT) already running ahead of the FY26 13-18% pace; if sustained, FY27 revenue growth mid-to-high-teens, PAT growth low-to-mid-20s%</w:t>
            </w:r>
          </w:p>
        </w:tc>
      </w:tr>
      <w:tr>
        <w:tc>
          <w:tcPr>
            <w:tcW w:type="dxa" w:w="3200"/>
            <w:shd w:fill="F2F2F2" w:val="clear"/>
          </w:tcPr>
          <w:p>
            <w:r>
              <w:rPr>
                <w:b/>
                <w:bCs/>
              </w:rPr>
              <w:t xml:space="preserve">Our FY28</w:t>
            </w:r>
          </w:p>
        </w:tc>
        <w:tc>
          <w:tcPr>
            <w:tcW w:type="dxa" w:w="5800"/>
          </w:tcPr>
          <w:p>
            <w:r>
              <w:t xml:space="preserve">similar low-to-mid-teens compounding unless the international / OEM push accelerates it</w:t>
            </w:r>
          </w:p>
        </w:tc>
      </w:tr>
      <w:tr>
        <w:tc>
          <w:tcPr>
            <w:tcW w:type="dxa" w:w="3200"/>
            <w:shd w:fill="F2F2F2" w:val="clear"/>
          </w:tcPr>
          <w:p>
            <w:r>
              <w:rPr>
                <w:b/>
                <w:bCs/>
              </w:rPr>
              <w:t xml:space="preserve">Gap direction</w:t>
            </w:r>
          </w:p>
        </w:tc>
        <w:tc>
          <w:tcPr>
            <w:tcW w:type="dxa" w:w="5800"/>
          </w:tcPr>
          <w:p>
            <w:r>
              <w:t xml:space="preserve">priced-in</w:t>
            </w:r>
          </w:p>
        </w:tc>
      </w:tr>
      <w:tr>
        <w:tc>
          <w:tcPr>
            <w:tcW w:type="dxa" w:w="3200"/>
            <w:shd w:fill="F2F2F2" w:val="clear"/>
          </w:tcPr>
          <w:p>
            <w:r>
              <w:rPr>
                <w:b/>
                <w:bCs/>
              </w:rPr>
              <w:t xml:space="preserve">Gap type</w:t>
            </w:r>
          </w:p>
        </w:tc>
        <w:tc>
          <w:tcPr>
            <w:tcW w:type="dxa" w:w="5800"/>
          </w:tcPr>
          <w:p>
            <w:r>
              <w:t xml:space="preserve">duration</w:t>
            </w:r>
          </w:p>
        </w:tc>
      </w:tr>
      <w:tr>
        <w:tc>
          <w:tcPr>
            <w:tcW w:type="dxa" w:w="3200"/>
            <w:shd w:fill="F2F2F2" w:val="clear"/>
          </w:tcPr>
          <w:p>
            <w:r>
              <w:rPr>
                <w:b/>
                <w:bCs/>
              </w:rPr>
              <w:t xml:space="preserve">Gap magnitude</w:t>
            </w:r>
          </w:p>
        </w:tc>
        <w:tc>
          <w:tcPr>
            <w:tcW w:type="dxa" w:w="5800"/>
          </w:tcPr>
          <w:p>
            <w:r>
              <w:t xml:space="preserve">not estimable</w:t>
            </w:r>
          </w:p>
        </w:tc>
      </w:tr>
      <w:tr>
        <w:tc>
          <w:tcPr>
            <w:tcW w:type="dxa" w:w="3200"/>
            <w:shd w:fill="F2F2F2" w:val="clear"/>
          </w:tcPr>
          <w:p>
            <w:r>
              <w:rPr>
                <w:b/>
                <w:bCs/>
              </w:rPr>
              <w:t xml:space="preserve">Gap basis</w:t>
            </w:r>
          </w:p>
        </w:tc>
        <w:tc>
          <w:tcPr>
            <w:tcW w:type="dxa" w:w="5800"/>
          </w:tcPr>
          <w:p>
            <w:r>
              <w:t xml:space="preserve">at ~24x trailing (Rs486cr mcap / Rs20.49cr FY26 consol PAT) with Q1FY27 growth accelerating to +21-28%, the multiple looks fair-to-slightly-conservative on fundamentals alone; the stock's ~33% 1-year de-rating suggests the market is discounting the unresolved governance flag more than the operating numbers</w:t>
            </w:r>
          </w:p>
        </w:tc>
      </w:tr>
      <w:tr>
        <w:tc>
          <w:tcPr>
            <w:tcW w:type="dxa" w:w="3200"/>
            <w:shd w:fill="F2F2F2" w:val="clear"/>
          </w:tcPr>
          <w:p>
            <w:r>
              <w:rPr>
                <w:b/>
                <w:bCs/>
              </w:rPr>
              <w:t xml:space="preserve">Evidence quality</w:t>
            </w:r>
          </w:p>
        </w:tc>
        <w:tc>
          <w:tcPr>
            <w:tcW w:type="dxa" w:w="5800"/>
          </w:tcPr>
          <w:p>
            <w:r>
              <w:t xml:space="preserve">moderate</w:t>
            </w:r>
          </w:p>
        </w:tc>
      </w:tr>
    </w:tbl>
    <w:p>
      <w:pPr>
        <w:spacing w:after="120"/>
      </w:pPr>
      <w:r>
        <w:rPr>
          <w:i/>
          <w:iCs/>
          <w:color w:val="666666"/>
          <w:sz w:val="16"/>
          <w:szCs w:val="16"/>
        </w:rPr>
        <w:t xml:space="preserve">no broker consensus; implied path is a reverse-P/E estimate + screener.in forward figures + VP thread view</w:t>
      </w:r>
    </w:p>
    <w:p>
      <w:pPr>
        <w:pStyle w:val="Heading1"/>
        <w:spacing w:after="120" w:before="280"/>
      </w:pPr>
      <w:r>
        <w:t xml:space="preserve">Ishmohit-Lens Checks (value chain · earnings quality · growth trajectory · management · quality metrics · track record · global-signal check)</w:t>
      </w:r>
    </w:p>
    <w:p>
      <w:pPr>
        <w:spacing w:after="120"/>
      </w:pPr>
      <w:r>
        <w:rPr>
          <w:i/>
          <w:iCs/>
          <w:color w:val="666666"/>
          <w:sz w:val="18"/>
          <w:szCs w:val="18"/>
        </w:rPr>
        <w:t xml:space="preserve">Extra checks drawn from @ishmohit1 / SOIC methodology (playbook/ishmohit-soic-style.md): where the company sits in its value chain and what the supply side is doing, whether a margin/PAT inflection is structural or a cyclical peak, the rate-of-change of growth vs. what the multiple demands, and management quality as a positive attribute.</w:t>
      </w:r>
    </w:p>
    <w:p>
      <w:pPr>
        <w:spacing w:after="120"/>
      </w:pPr>
      <w:r>
        <w:rPr>
          <w:b/>
          <w:bCs/>
          <w:sz w:val="20"/>
          <w:szCs w:val="20"/>
        </w:rPr>
        <w:t xml:space="preserve">Value chain &amp; supply side: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Theme</w:t>
            </w:r>
          </w:p>
        </w:tc>
        <w:tc>
          <w:tcPr>
            <w:tcW w:type="dxa" w:w="5800"/>
          </w:tcPr>
          <w:p>
            <w:r>
              <w:t xml:space="preserve">Dental restorative &amp; consumable materials</w:t>
            </w:r>
          </w:p>
        </w:tc>
      </w:tr>
      <w:tr>
        <w:tc>
          <w:tcPr>
            <w:tcW w:type="dxa" w:w="3200"/>
            <w:shd w:fill="F2F2F2" w:val="clear"/>
          </w:tcPr>
          <w:p>
            <w:r>
              <w:rPr>
                <w:b/>
                <w:bCs/>
              </w:rPr>
              <w:t xml:space="preserve">This company's position</w:t>
            </w:r>
          </w:p>
        </w:tc>
        <w:tc>
          <w:tcPr>
            <w:tcW w:type="dxa" w:w="5800"/>
          </w:tcPr>
          <w:p>
            <w:r>
              <w:t xml:space="preserve">Domestic manufacturer of dental restorative/consumable products competing against MNC brands (3M, Shofu, Ivoclar) at a lower price point, with a growing export footprint</w:t>
            </w:r>
          </w:p>
        </w:tc>
      </w:tr>
      <w:tr>
        <w:tc>
          <w:tcPr>
            <w:tcW w:type="dxa" w:w="3200"/>
            <w:shd w:fill="F2F2F2" w:val="clear"/>
          </w:tcPr>
          <w:p>
            <w:r>
              <w:rPr>
                <w:b/>
                <w:bCs/>
              </w:rPr>
              <w:t xml:space="preserve">Bottleneck node (pricing power)</w:t>
            </w:r>
          </w:p>
        </w:tc>
        <w:tc>
          <w:tcPr>
            <w:tcW w:type="dxa" w:w="5800"/>
          </w:tcPr>
          <w:p>
            <w:r>
              <w:t xml:space="preserve">—</w:t>
            </w:r>
          </w:p>
        </w:tc>
      </w:tr>
      <w:tr>
        <w:tc>
          <w:tcPr>
            <w:tcW w:type="dxa" w:w="3200"/>
            <w:shd w:fill="F2F2F2" w:val="clear"/>
          </w:tcPr>
          <w:p>
            <w:r>
              <w:rPr>
                <w:b/>
                <w:bCs/>
              </w:rPr>
              <w:t xml:space="preserve">Supply-side status</w:t>
            </w:r>
          </w:p>
        </w:tc>
        <w:tc>
          <w:tcPr>
            <w:tcW w:type="dxa" w:w="5800"/>
          </w:tcPr>
          <w:p>
            <w:r>
              <w:t xml:space="preserve">balanced</w:t>
            </w:r>
          </w:p>
        </w:tc>
      </w:tr>
      <w:tr>
        <w:tc>
          <w:tcPr>
            <w:tcW w:type="dxa" w:w="3200"/>
            <w:shd w:fill="F2F2F2" w:val="clear"/>
          </w:tcPr>
          <w:p>
            <w:r>
              <w:rPr>
                <w:b/>
                <w:bCs/>
              </w:rPr>
              <w:t xml:space="preserve">Adjacent-node peers</w:t>
            </w:r>
          </w:p>
        </w:tc>
        <w:tc>
          <w:tcPr>
            <w:tcW w:type="dxa" w:w="5800"/>
          </w:tcPr>
          <w:p>
            <w:r>
              <w:t xml:space="preserve">3M Oral Care, Ivoclar Vivadent, Shofu</w:t>
            </w:r>
          </w:p>
        </w:tc>
      </w:tr>
    </w:tbl>
    <w:p>
      <w:pPr>
        <w:spacing w:after="120"/>
      </w:pPr>
      <w:r>
        <w:rPr>
          <w:color w:val="666666"/>
          <w:sz w:val="18"/>
          <w:szCs w:val="18"/>
        </w:rPr>
        <w:t xml:space="preserve">A price-value domestic alternative to global dental-materials majors; export growth (~17.6% FY26) outpacing the domestic base suggests the value-for-money positioning travels internationally too.</w:t>
      </w:r>
    </w:p>
    <w:p>
      <w:pPr>
        <w:spacing w:after="60" w:before="120"/>
      </w:pPr>
      <w:r>
        <w:rPr>
          <w:b/>
          <w:bCs/>
          <w:sz w:val="20"/>
          <w:szCs w:val="20"/>
        </w:rPr>
        <w:t xml:space="preserve">Earnings quality: </w:t>
      </w:r>
      <w:r>
        <w:rPr>
          <w:sz w:val="20"/>
          <w:szCs w:val="20"/>
        </w:rPr>
        <w:t xml:space="preserve">margin driver structural</w:t>
      </w:r>
      <w:r>
        <w:rPr>
          <w:b/>
          <w:bCs/>
          <w:color w:val="A32020"/>
          <w:sz w:val="20"/>
          <w:szCs w:val="20"/>
        </w:rPr>
        <w:t xml:space="preserve"/>
      </w:r>
    </w:p>
    <w:p>
      <w:pPr>
        <w:spacing w:after="120"/>
      </w:pPr>
      <w:r>
        <w:rPr>
          <w:color w:val="666666"/>
          <w:sz w:val="18"/>
          <w:szCs w:val="18"/>
        </w:rPr>
        <w:t xml:space="preserve">Drivers: export mix growing faster than domestic at similar-or-better margins; operating leverage on a small, high-utilisation manufacturing base.</w:t>
      </w:r>
    </w:p>
    <w:p>
      <w:pPr>
        <w:spacing w:after="120"/>
      </w:pPr>
      <w:r>
        <w:rPr>
          <w:color w:val="666666"/>
          <w:sz w:val="18"/>
          <w:szCs w:val="18"/>
        </w:rPr>
        <w:t xml:space="preserve">35-40%+ EBITDA margins have been consistent across the FY20-26 track record (per track_record); FY26's 39.8% standalone EBITDA margin (+80bps YoY) reads as continued steady expansion, not a cyclical spike.</w:t>
      </w:r>
    </w:p>
    <w:p>
      <w:pPr>
        <w:spacing w:after="60" w:before="120"/>
      </w:pPr>
      <w:r>
        <w:rPr>
          <w:b/>
          <w:bCs/>
          <w:sz w:val="20"/>
          <w:szCs w:val="20"/>
        </w:rPr>
        <w:t xml:space="preserve">Growth trajectory: </w:t>
      </w:r>
      <w:r>
        <w:rPr>
          <w:b w:val="false"/>
          <w:bCs w:val="false"/>
          <w:sz w:val="20"/>
          <w:szCs w:val="20"/>
        </w:rPr>
        <w:t xml:space="preserve">YoY growth rate is accelerating</w:t>
      </w:r>
    </w:p>
    <w:p>
      <w:pPr>
        <w:spacing w:after="120"/>
      </w:pPr>
      <w:r>
        <w:rPr>
          <w:color w:val="666666"/>
          <w:sz w:val="18"/>
          <w:szCs w:val="18"/>
        </w:rPr>
        <w:t xml:space="preserve">FY26 full year +13.9% revenue / +12.9% PAT (consol); Q1FY27 +20.94% revenue / +27.99% PAT YoY - a clear step-up from the FY26 run-rate</w:t>
      </w:r>
    </w:p>
    <w:p>
      <w:pPr>
        <w:spacing w:after="120"/>
      </w:pPr>
      <w:r>
        <w:rPr>
          <w:color w:val="666666"/>
          <w:sz w:val="18"/>
          <w:szCs w:val="18"/>
        </w:rPr>
        <w:t xml:space="preserve">Reverse P/E: At ~24x trailing (Rs486cr mcap / Rs20.49cr FY26 consol PAT), high-teens-to-20%+ growth is more than enough to hold the multiple; Q1FY27's acceleration is a positive read against what the multiple needs, not a strain on it</w:t>
      </w:r>
    </w:p>
    <w:p>
      <w:pPr>
        <w:spacing w:after="120"/>
      </w:pPr>
      <w:r>
        <w:rPr>
          <w:b/>
          <w:bCs/>
          <w:sz w:val="20"/>
          <w:szCs w:val="20"/>
        </w:rPr>
        <w:t xml:space="preserve">Management quality (TVGP's "P"):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Assessment</w:t>
            </w:r>
          </w:p>
        </w:tc>
        <w:tc>
          <w:tcPr>
            <w:tcW w:type="dxa" w:w="5800"/>
          </w:tcPr>
          <w:p>
            <w:r>
              <w:t xml:space="preserve">concern</w:t>
            </w:r>
          </w:p>
        </w:tc>
      </w:tr>
      <w:tr>
        <w:tc>
          <w:tcPr>
            <w:tcW w:type="dxa" w:w="3200"/>
            <w:shd w:fill="F2F2F2" w:val="clear"/>
          </w:tcPr>
          <w:p>
            <w:r>
              <w:rPr>
                <w:b/>
                <w:bCs/>
              </w:rPr>
              <w:t xml:space="preserve">Capital allocation</w:t>
            </w:r>
          </w:p>
        </w:tc>
        <w:tc>
          <w:tcPr>
            <w:tcW w:type="dxa" w:w="5800"/>
          </w:tcPr>
          <w:p>
            <w:r>
              <w:t xml:space="preserve">Nearly debt-free, reinvesting in-business at a rising ROCE (52.16% FY26); no unrelated diversification found. A new independent director was appointed in 2026 (disciplined)</w:t>
            </w:r>
          </w:p>
        </w:tc>
      </w:tr>
      <w:tr>
        <w:tc>
          <w:tcPr>
            <w:tcW w:type="dxa" w:w="3200"/>
            <w:shd w:fill="F2F2F2" w:val="clear"/>
          </w:tcPr>
          <w:p>
            <w:r>
              <w:rPr>
                <w:b/>
                <w:bCs/>
              </w:rPr>
              <w:t xml:space="preserve">Related-party trend</w:t>
            </w:r>
          </w:p>
        </w:tc>
        <w:tc>
          <w:tcPr>
            <w:tcW w:type="dxa" w:w="5800"/>
          </w:tcPr>
          <w:p>
            <w:r>
              <w:t xml:space="preserve">rising</w:t>
            </w:r>
          </w:p>
        </w:tc>
      </w:tr>
      <w:tr>
        <w:tc>
          <w:tcPr>
            <w:tcW w:type="dxa" w:w="3200"/>
            <w:shd w:fill="F2F2F2" w:val="clear"/>
          </w:tcPr>
          <w:p>
            <w:r>
              <w:rPr>
                <w:b/>
                <w:bCs/>
              </w:rPr>
              <w:t xml:space="preserve">Guidance credibility</w:t>
            </w:r>
          </w:p>
        </w:tc>
        <w:tc>
          <w:tcPr>
            <w:tcW w:type="dxa" w:w="5800"/>
          </w:tcPr>
          <w:p>
            <w:r>
              <w:t xml:space="preserve">no-track-record</w:t>
            </w:r>
          </w:p>
        </w:tc>
      </w:tr>
      <w:tr>
        <w:tc>
          <w:tcPr>
            <w:tcW w:type="dxa" w:w="3200"/>
            <w:shd w:fill="F2F2F2" w:val="clear"/>
          </w:tcPr>
          <w:p>
            <w:r>
              <w:rPr>
                <w:b/>
                <w:bCs/>
              </w:rPr>
              <w:t xml:space="preserve">Shareholder returns</w:t>
            </w:r>
          </w:p>
        </w:tc>
        <w:tc>
          <w:tcPr>
            <w:tcW w:type="dxa" w:w="5800"/>
          </w:tcPr>
          <w:p>
            <w:r>
              <w:t xml:space="preserve">initiated</w:t>
            </w:r>
          </w:p>
        </w:tc>
      </w:tr>
      <w:tr>
        <w:tc>
          <w:tcPr>
            <w:tcW w:type="dxa" w:w="3200"/>
            <w:shd w:fill="F2F2F2" w:val="clear"/>
          </w:tcPr>
          <w:p>
            <w:r>
              <w:rPr>
                <w:b/>
                <w:bCs/>
              </w:rPr>
              <w:t xml:space="preserve">Capability ladder / VAP</w:t>
            </w:r>
          </w:p>
        </w:tc>
        <w:tc>
          <w:tcPr>
            <w:tcW w:type="dxa" w:w="5800"/>
          </w:tcPr>
          <w:p>
            <w:r>
              <w:t xml:space="preserve">—</w:t>
            </w:r>
          </w:p>
        </w:tc>
      </w:tr>
    </w:tbl>
    <w:p>
      <w:pPr>
        <w:spacing w:after="120"/>
      </w:pPr>
      <w:r>
        <w:rPr>
          <w:b/>
          <w:bCs/>
          <w:sz w:val="20"/>
          <w:szCs w:val="20"/>
        </w:rPr>
        <w:t xml:space="preserve">Quality metrics (ROCE · debt · FCF · margin · capex):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Assessment</w:t>
            </w:r>
          </w:p>
        </w:tc>
        <w:tc>
          <w:tcPr>
            <w:tcW w:type="dxa" w:w="5800"/>
          </w:tcPr>
          <w:p>
            <w:r>
              <w:t xml:space="preserve">positive</w:t>
            </w:r>
          </w:p>
        </w:tc>
      </w:tr>
      <w:tr>
        <w:tc>
          <w:tcPr>
            <w:tcW w:type="dxa" w:w="3200"/>
            <w:shd w:fill="F2F2F2" w:val="clear"/>
          </w:tcPr>
          <w:p>
            <w:r>
              <w:rPr>
                <w:b/>
                <w:bCs/>
              </w:rPr>
              <w:t xml:space="preserve">ROCE</w:t>
            </w:r>
          </w:p>
        </w:tc>
        <w:tc>
          <w:tcPr>
            <w:tcW w:type="dxa" w:w="5800"/>
          </w:tcPr>
          <w:p>
            <w:r>
              <w:t xml:space="preserve">52.16% (improving)</w:t>
            </w:r>
          </w:p>
        </w:tc>
      </w:tr>
      <w:tr>
        <w:tc>
          <w:tcPr>
            <w:tcW w:type="dxa" w:w="3200"/>
            <w:shd w:fill="F2F2F2" w:val="clear"/>
          </w:tcPr>
          <w:p>
            <w:r>
              <w:rPr>
                <w:b/>
                <w:bCs/>
              </w:rPr>
              <w:t xml:space="preserve">Leverage</w:t>
            </w:r>
          </w:p>
        </w:tc>
        <w:tc>
          <w:tcPr>
            <w:tcW w:type="dxa" w:w="5800"/>
          </w:tcPr>
          <w:p>
            <w:r>
              <w:t xml:space="preserve">Net debt/EBITDA -0.5x</w:t>
            </w:r>
          </w:p>
        </w:tc>
      </w:tr>
      <w:tr>
        <w:tc>
          <w:tcPr>
            <w:tcW w:type="dxa" w:w="3200"/>
            <w:shd w:fill="F2F2F2" w:val="clear"/>
          </w:tcPr>
          <w:p>
            <w:r>
              <w:rPr>
                <w:b/>
                <w:bCs/>
              </w:rPr>
              <w:t xml:space="preserve">FCF conversion</w:t>
            </w:r>
          </w:p>
        </w:tc>
        <w:tc>
          <w:tcPr>
            <w:tcW w:type="dxa" w:w="5800"/>
          </w:tcPr>
          <w:p>
            <w:r>
              <w:t xml:space="preserve">53%</w:t>
            </w:r>
          </w:p>
        </w:tc>
      </w:tr>
      <w:tr>
        <w:tc>
          <w:tcPr>
            <w:tcW w:type="dxa" w:w="3200"/>
            <w:shd w:fill="F2F2F2" w:val="clear"/>
          </w:tcPr>
          <w:p>
            <w:r>
              <w:rPr>
                <w:b/>
                <w:bCs/>
              </w:rPr>
              <w:t xml:space="preserve">Margin trend</w:t>
            </w:r>
          </w:p>
        </w:tc>
        <w:tc>
          <w:tcPr>
            <w:tcW w:type="dxa" w:w="5800"/>
          </w:tcPr>
          <w:p>
            <w:r>
              <w:t xml:space="preserve">expanding</w:t>
            </w:r>
          </w:p>
        </w:tc>
      </w:tr>
      <w:tr>
        <w:tc>
          <w:tcPr>
            <w:tcW w:type="dxa" w:w="3200"/>
            <w:shd w:fill="F2F2F2" w:val="clear"/>
          </w:tcPr>
          <w:p>
            <w:r>
              <w:rPr>
                <w:b/>
                <w:bCs/>
              </w:rPr>
              <w:t xml:space="preserve">Capex efficiency</w:t>
            </w:r>
          </w:p>
        </w:tc>
        <w:tc>
          <w:tcPr>
            <w:tcW w:type="dxa" w:w="5800"/>
          </w:tcPr>
          <w:p>
            <w:r>
              <w:t xml:space="preserve">productive</w:t>
            </w:r>
          </w:p>
        </w:tc>
      </w:tr>
    </w:tbl>
    <w:p>
      <w:pPr>
        <w:spacing w:after="60" w:before="120"/>
      </w:pPr>
      <w:r>
        <w:rPr>
          <w:b/>
          <w:bCs/>
          <w:sz w:val="20"/>
          <w:szCs w:val="20"/>
        </w:rPr>
        <w:t xml:space="preserve">Track record (Coffee Can persistence check): </w:t>
      </w:r>
      <w:r>
        <w:rPr>
          <w:sz w:val="20"/>
          <w:szCs w:val="20"/>
        </w:rPr>
        <w:t xml:space="preserve">cleared revenue growth ≥10% AND ROCE ≥15% in 7 of the last 7 years (consistency_score 100)</w:t>
      </w:r>
    </w:p>
    <w:p>
      <w:pPr>
        <w:spacing w:after="120"/>
      </w:pPr>
      <w:r>
        <w:rPr>
          <w:color w:val="666666"/>
          <w:sz w:val="18"/>
          <w:szCs w:val="18"/>
        </w:rPr>
        <w:t xml:space="preserve">Per screener.in (FY20-FY26): every year cleared both &gt;=10% revenue growth and &gt;=15% ROCE -- revenue +12-36% and ROCE 25-47% throughout on a debt-free base with 35-40% OPM. A genuine high-quality small-cap consistency record; the governance flag (directors' pay ~23% of PAT, rising) is separate from the mechanical track record.</w:t>
      </w:r>
    </w:p>
    <w:p>
      <w:pPr>
        <w:pStyle w:val="Heading1"/>
        <w:spacing w:after="120" w:before="280"/>
      </w:pPr>
      <w:r>
        <w:t xml:space="preserve">Fundamentals-Gap Checks (shareholding · working capital · sector KPIs · scenario analysis)</w:t>
      </w:r>
    </w:p>
    <w:p>
      <w:pPr>
        <w:spacing w:after="120"/>
      </w:pPr>
      <w:r>
        <w:rPr>
          <w:i/>
          <w:iCs/>
          <w:color w:val="666666"/>
          <w:sz w:val="18"/>
          <w:szCs w:val="18"/>
        </w:rPr>
        <w:t xml:space="preserve">Extra fundamentals extracted from the same filings — informational only, not yet consumed by any scoring script.</w:t>
      </w:r>
    </w:p>
    <w:p>
      <w:pPr>
        <w:spacing w:after="120"/>
      </w:pPr>
      <w:r>
        <w:rPr>
          <w:b/>
          <w:bCs/>
          <w:sz w:val="20"/>
          <w:szCs w:val="20"/>
        </w:rPr>
        <w:t xml:space="preserve">Shareholding pattern: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Promoter %</w:t>
            </w:r>
          </w:p>
        </w:tc>
        <w:tc>
          <w:tcPr>
            <w:tcW w:type="dxa" w:w="5800"/>
          </w:tcPr>
          <w:p>
            <w:r>
              <w:t xml:space="preserve">73.6% (unclear)</w:t>
            </w:r>
          </w:p>
        </w:tc>
      </w:tr>
      <w:tr>
        <w:tc>
          <w:tcPr>
            <w:tcW w:type="dxa" w:w="3200"/>
            <w:shd w:fill="F2F2F2" w:val="clear"/>
          </w:tcPr>
          <w:p>
            <w:r>
              <w:rPr>
                <w:b/>
                <w:bCs/>
              </w:rPr>
              <w:t xml:space="preserve">Pledge %</w:t>
            </w:r>
          </w:p>
        </w:tc>
        <w:tc>
          <w:tcPr>
            <w:tcW w:type="dxa" w:w="5800"/>
          </w:tcPr>
          <w:p>
            <w:r>
              <w:t xml:space="preserve">0% (unclear)</w:t>
            </w:r>
          </w:p>
        </w:tc>
      </w:tr>
      <w:tr>
        <w:tc>
          <w:tcPr>
            <w:tcW w:type="dxa" w:w="3200"/>
            <w:shd w:fill="F2F2F2" w:val="clear"/>
          </w:tcPr>
          <w:p>
            <w:r>
              <w:rPr>
                <w:b/>
                <w:bCs/>
              </w:rPr>
              <w:t xml:space="preserve">FII/DII %</w:t>
            </w:r>
          </w:p>
        </w:tc>
        <w:tc>
          <w:tcPr>
            <w:tcW w:type="dxa" w:w="5800"/>
          </w:tcPr>
          <w:p>
            <w:r>
              <w:t xml:space="preserve">1.4% (unclear)</w:t>
            </w:r>
          </w:p>
        </w:tc>
      </w:tr>
      <w:tr>
        <w:tc>
          <w:tcPr>
            <w:tcW w:type="dxa" w:w="3200"/>
            <w:shd w:fill="F2F2F2" w:val="clear"/>
          </w:tcPr>
          <w:p>
            <w:r>
              <w:rPr>
                <w:b/>
                <w:bCs/>
              </w:rPr>
              <w:t xml:space="preserve">Quarters checked</w:t>
            </w:r>
          </w:p>
        </w:tc>
        <w:tc>
          <w:tcPr>
            <w:tcW w:type="dxa" w:w="5800"/>
          </w:tcPr>
          <w:p>
            <w:r>
              <w:t xml:space="preserve">Q1FY27</w:t>
            </w:r>
          </w:p>
        </w:tc>
      </w:tr>
    </w:tbl>
    <w:p>
      <w:pPr>
        <w:spacing w:after="120"/>
      </w:pPr>
      <w:r>
        <w:rPr>
          <w:color w:val="666666"/>
          <w:sz w:val="18"/>
          <w:szCs w:val="18"/>
        </w:rPr>
        <w:t xml:space="preserve">Only one recent quarter (Jun-2026) cleanly sourced this pass: promoter 73.6%, FII ~0.65%, DII ~0.77-0.79%, public ~18-25% (sources varied slightly). No pledge reported. Too early to call a trend off one quarter.</w:t>
      </w:r>
    </w:p>
    <w:p>
      <w:pPr>
        <w:spacing w:after="120"/>
      </w:pPr>
      <w:r>
        <w:rPr>
          <w:b/>
          <w:bCs/>
          <w:sz w:val="20"/>
          <w:szCs w:val="20"/>
        </w:rPr>
        <w:t xml:space="preserve">Sector KPIs:</w:t>
      </w:r>
    </w:p>
    <w:p>
      <w:pPr>
        <w:pStyle w:val="ListParagraph"/>
        <w:numPr>
          <w:ilvl w:val="0"/>
          <w:numId w:val="1"/>
        </w:numPr>
        <w:spacing w:after="60"/>
      </w:pPr>
      <w:r>
        <w:t xml:space="preserve">Export revenue growth: ~17.6% FY26, outpacing overall 13.9% (improving) — corroborates the community-scuttlebutt read of genuine international demand</w:t>
      </w:r>
    </w:p>
    <w:p>
      <w:pPr>
        <w:pStyle w:val="ListParagraph"/>
        <w:numPr>
          <w:ilvl w:val="0"/>
          <w:numId w:val="1"/>
        </w:numPr>
        <w:spacing w:after="60"/>
      </w:pPr>
      <w:r>
        <w:t xml:space="preserve">Standalone EBITDA margin: 39.8%, +80bps YoY (improving)</w:t>
      </w:r>
    </w:p>
    <w:p>
      <w:pPr>
        <w:pStyle w:val="Heading1"/>
        <w:spacing w:after="120" w:before="280"/>
      </w:pPr>
      <w:r>
        <w:t xml:space="preserve">Technical Read (Weekly / Monthly MACD + Bollinger Bands, or RSI/CCI/Williams %R proxy)</w:t>
      </w:r>
    </w:p>
    <w:p>
      <w:pPr>
        <w:spacing w:after="120"/>
      </w:pPr>
      <w:r>
        <w:t xml:space="preserve">Not checked this pass.</w:t>
      </w:r>
    </w:p>
    <w:p>
      <w:pPr>
        <w:pStyle w:val="Heading1"/>
        <w:spacing w:after="120" w:before="280"/>
      </w:pPr>
      <w:r>
        <w:t xml:space="preserve">ValuePickr Community Signal</w:t>
      </w:r>
    </w:p>
    <w:p>
      <w:pPr>
        <w:spacing w:after="120"/>
      </w:pPr>
      <w:r>
        <w:t xml:space="preserve">Read most recent 50 of 205 posts (single batch, no escalation). Thread sentiment shifted materially in the most recent posts: a detailed, well-received (6 loves) post from a longtime follower explained why they ultimately rejected Prevest as an investment despite strong initial impressions.</w:t>
      </w:r>
    </w:p>
    <w:p>
      <w:pPr>
        <w:spacing w:after="120"/>
      </w:pPr>
      <w:r>
        <w:rPr>
          <w:b/>
          <w:bCs/>
          <w:sz w:val="20"/>
          <w:szCs w:val="20"/>
        </w:rPr>
        <w:t xml:space="preserve">High-conviction call from a top contributor: </w:t>
      </w:r>
      <w:r>
        <w:rPr>
          <w:sz w:val="20"/>
          <w:szCs w:val="20"/>
        </w:rPr>
        <w:t xml:space="preserve">No trusted-roster users posted in this thread. pranavpallod12 (6 loves, Aug 2026) wrote a detailed post citing directors' remuneration at 23% of PAT -- and rising -- as the 'first huge RED FLAG' that changed their view after scuttlebutt research had been positive; also referenced a well-paid marketing executive who is the promoter's son-in-law. Axay_shah (Jun 2026, citing another user Adhiraj) corroborated increasing marketing-driven spend and management remuneration concerns. Ankitshah789 (Aug 2026) agreed on the management-pay concern but still sees unique business opportunity domestically and internationally.</w:t>
      </w:r>
    </w:p>
    <w:p>
      <w:pPr>
        <w:pStyle w:val="Heading1"/>
        <w:spacing w:after="120" w:before="280"/>
      </w:pPr>
      <w:r>
        <w:t xml:space="preserve">BSE Corporate Actions / Other Red Flags</w:t>
      </w:r>
    </w:p>
    <w:p>
      <w:pPr>
        <w:spacing w:after="120"/>
      </w:pPr>
      <w:r>
        <w:t xml:space="preserve">Not checked.</w:t>
      </w:r>
    </w:p>
    <w:p>
      <w:pPr>
        <w:pStyle w:val="Heading1"/>
        <w:spacing w:after="120" w:before="280"/>
      </w:pPr>
      <w:r>
        <w:t xml:space="preserve">Bull Case</w:t>
      </w:r>
    </w:p>
    <w:p>
      <w:pPr>
        <w:pStyle w:val="ListParagraph"/>
        <w:numPr>
          <w:ilvl w:val="0"/>
          <w:numId w:val="1"/>
        </w:numPr>
        <w:spacing w:after="60"/>
      </w:pPr>
      <w:r>
        <w:t xml:space="preserve">35%+ EBITDA margins, ROCE 52.16% (FY26), cash-rich and nearly debt-free balance sheet</w:t>
      </w:r>
    </w:p>
    <w:p>
      <w:pPr>
        <w:pStyle w:val="ListParagraph"/>
        <w:numPr>
          <w:ilvl w:val="0"/>
          <w:numId w:val="1"/>
        </w:numPr>
        <w:spacing w:after="60"/>
      </w:pPr>
      <w:r>
        <w:t xml:space="preserve">Growth is ACCELERATING: Q1FY27 revenue +20.94%, PAT +27.99% YoY, both ahead of FY26's already-solid 13.9%/12.9%</w:t>
      </w:r>
    </w:p>
    <w:p>
      <w:pPr>
        <w:pStyle w:val="ListParagraph"/>
        <w:numPr>
          <w:ilvl w:val="0"/>
          <w:numId w:val="1"/>
        </w:numPr>
        <w:spacing w:after="60"/>
      </w:pPr>
      <w:r>
        <w:t xml:space="preserve">Export growth (~17.6%) outpacing overall growth, corroborating genuine international + domestic brand loyalty even in smaller Indian cities</w:t>
      </w:r>
    </w:p>
    <w:p>
      <w:pPr>
        <w:pStyle w:val="ListParagraph"/>
        <w:numPr>
          <w:ilvl w:val="0"/>
          <w:numId w:val="1"/>
        </w:numPr>
        <w:spacing w:after="60"/>
      </w:pPr>
      <w:r>
        <w:t xml:space="preserve">New independent director appointed in 2026 - a concrete, positive governance step since the community flag surfaced</w:t>
      </w:r>
    </w:p>
    <w:p>
      <w:pPr>
        <w:pStyle w:val="ListParagraph"/>
        <w:numPr>
          <w:ilvl w:val="0"/>
          <w:numId w:val="1"/>
        </w:numPr>
        <w:spacing w:after="60"/>
      </w:pPr>
      <w:r>
        <w:t xml:space="preserve">Stock has de-rated ~33% over 1 year despite improving fundamentals - if the governance concern is resolved or fades, there is room for a re-rating</w:t>
      </w:r>
    </w:p>
    <w:p>
      <w:pPr>
        <w:pStyle w:val="Heading1"/>
        <w:spacing w:after="120" w:before="280"/>
      </w:pPr>
      <w:r>
        <w:t xml:space="preserve">Bear Case / Key Risks</w:t>
      </w:r>
    </w:p>
    <w:p>
      <w:pPr>
        <w:pStyle w:val="ListParagraph"/>
        <w:numPr>
          <w:ilvl w:val="0"/>
          <w:numId w:val="1"/>
        </w:numPr>
        <w:spacing w:after="60"/>
      </w:pPr>
      <w:r>
        <w:t xml:space="preserve">Directors' remuneration at ~23% of PAT and rising (per the community's original scuttlebutt) remains UNVERIFIED either way this pass - the full board/related-party remuneration schedule was not sourced from primary filings</w:t>
      </w:r>
    </w:p>
    <w:p>
      <w:pPr>
        <w:pStyle w:val="ListParagraph"/>
        <w:numPr>
          <w:ilvl w:val="0"/>
          <w:numId w:val="1"/>
        </w:numPr>
        <w:spacing w:after="60"/>
      </w:pPr>
      <w:r>
        <w:t xml:space="preserve">A senior, well-paid marketing hire reported to be the promoter's son-in-law adds an unresolved related-party/nepotism concern</w:t>
      </w:r>
    </w:p>
    <w:p>
      <w:pPr>
        <w:pStyle w:val="ListParagraph"/>
        <w:numPr>
          <w:ilvl w:val="0"/>
          <w:numId w:val="1"/>
        </w:numPr>
        <w:spacing w:after="60"/>
      </w:pPr>
      <w:r>
        <w:t xml:space="preserve">The community member who did the deepest fundamental + scuttlebutt work on this name rejected it specifically because of this governance issue, not the business quality</w:t>
      </w:r>
    </w:p>
    <w:p>
      <w:pPr>
        <w:pStyle w:val="ListParagraph"/>
        <w:numPr>
          <w:ilvl w:val="0"/>
          <w:numId w:val="1"/>
        </w:numPr>
        <w:spacing w:after="60"/>
      </w:pPr>
      <w:r>
        <w:t xml:space="preserve">High promoter concentration (73.6%) with a family-heavy board (CMD, WTD/CFO, and a non-executive director all Modi family members)</w:t>
      </w:r>
    </w:p>
    <w:p>
      <w:pPr>
        <w:pStyle w:val="Heading1"/>
        <w:spacing w:after="120" w:before="280"/>
      </w:pPr>
      <w:r>
        <w:t xml:space="preserve">Market-Cap Tier (informational — not a gate in this project)</w:t>
      </w:r>
    </w:p>
    <w:p>
      <w:pPr>
        <w:spacing w:after="120"/>
      </w:pPr>
      <w:r>
        <w:rPr>
          <w:b/>
          <w:bCs/>
        </w:rPr>
        <w:t xml:space="preserve">Small-cap (~Rs 484 Cr)</w:t>
      </w:r>
    </w:p>
    <w:p>
      <w:pPr>
        <w:pStyle w:val="Heading1"/>
        <w:spacing w:after="120" w:before="280"/>
      </w:pPr>
      <w:r>
        <w:t xml:space="preserve">Thesis Fit</w:t>
      </w:r>
    </w:p>
    <w:p>
      <w:pPr>
        <w:spacing w:after="120"/>
      </w:pPr>
      <w:r>
        <w:rPr>
          <w:b/>
          <w:bCs/>
          <w:sz w:val="24"/>
          <w:szCs w:val="24"/>
        </w:rPr>
        <w:t xml:space="preserve">10x-in-2-3-years</w:t>
      </w:r>
    </w:p>
    <w:p>
      <w:pPr>
        <w:spacing w:after="120"/>
      </w:pPr>
      <w:r>
        <w:rPr>
          <w:color w:val="666666"/>
          <w:sz w:val="20"/>
          <w:szCs w:val="20"/>
        </w:rPr>
        <w:t xml:space="preserve">4-box gate — tailwind: yes · TAM: yes · moat: weak · valuation: weak  (score 3 / 4)</w:t>
      </w:r>
    </w:p>
    <w:p>
      <w:pPr>
        <w:spacing w:after="120"/>
      </w:pPr>
      <w:r>
        <w:rPr>
          <w:i/>
          <w:iCs/>
          <w:color w:val="666666"/>
          <w:sz w:val="20"/>
          <w:szCs w:val="20"/>
        </w:rPr>
        <w:t xml:space="preserve">Long domestic/international runway + genuine dentist-level brand loyalty in smaller cities is a real structural tailwind; consistent double-digit growth (FY25-26 revenue+13.6%/PAT+17.6%) on a small (~Rs484cr) cash-rich base supports tam; no distinct competitive moat described beyond brand loyalty — weak; directors' remuneration at 23%-of-PAT-and-rising (with a related-party marketing hire) is a real governance concern that caused an engaged community member to reject the stock outright — valuation marked weak given this unresolved flag.</w:t>
      </w:r>
    </w:p>
    <w:p>
      <w:pPr>
        <w:pStyle w:val="Heading1"/>
        <w:spacing w:after="120" w:before="280"/>
      </w:pPr>
      <w:r>
        <w:t xml:space="preserve">Verdict</w:t>
      </w:r>
    </w:p>
    <w:p>
      <w:pPr>
        <w:spacing w:after="120"/>
      </w:pPr>
      <w:r>
        <w:rPr>
          <w:b/>
          <w:bCs/>
          <w:sz w:val="24"/>
          <w:szCs w:val="24"/>
        </w:rPr>
        <w:t xml:space="preserve">Excellent and ACCELERATING business economics (ROCE 52%, Q1FY27 growth +21-28%) plus a new independent director, but the specific governance flag that caps conviction (directors' remuneration ~23% of PAT) remains unverified either way this pass - conviction holds Low-Medium.</w:t>
      </w:r>
    </w:p>
    <w:p>
      <w:pPr>
        <w:pStyle w:val="ListParagraph"/>
        <w:numPr>
          <w:ilvl w:val="0"/>
          <w:numId w:val="1"/>
        </w:numPr>
        <w:spacing w:after="60"/>
      </w:pPr>
      <w:r>
        <w:t xml:space="preserve">Fundamentals strengthened this pass: ROCE 52.16% (vs a rougher 25% estimate previously), Q1FY27 growth accelerating to +20.94%/+27.99% from FY26's already-solid 13.9%/12.9% - the underlying business case is, if anything, stronger than the prior write-up captured</w:t>
      </w:r>
    </w:p>
    <w:p>
      <w:pPr>
        <w:pStyle w:val="ListParagraph"/>
        <w:numPr>
          <w:ilvl w:val="0"/>
          <w:numId w:val="1"/>
        </w:numPr>
        <w:spacing w:after="60"/>
      </w:pPr>
      <w:r>
        <w:t xml:space="preserve">A new independent director (2026) is a real, concrete governance improvement since the community thread's original flag</w:t>
      </w:r>
    </w:p>
    <w:p>
      <w:pPr>
        <w:pStyle w:val="ListParagraph"/>
        <w:numPr>
          <w:ilvl w:val="0"/>
          <w:numId w:val="1"/>
        </w:numPr>
        <w:spacing w:after="60"/>
      </w:pPr>
      <w:r>
        <w:t xml:space="preserve">But the specific, quantified governance concern (directors' remuneration ~23% of PAT, rising, with a related-party marketing hire) that is the SOLE reason conviction sits below what the fundamentals alone justify was NOT independently confirmed or refuted this pass - only the CEO's individual Rs1.2cr comp (~5.6% of PAT) was sourced from search, not the full board/related-party schedule</w:t>
      </w:r>
    </w:p>
    <w:p>
      <w:pPr>
        <w:pStyle w:val="ListParagraph"/>
        <w:numPr>
          <w:ilvl w:val="0"/>
          <w:numId w:val="1"/>
        </w:numPr>
        <w:spacing w:after="60"/>
      </w:pPr>
      <w:r>
        <w:t xml:space="preserve">Conviction held at Low-Medium rather than raised: stronger operating numbers do not, on their own, resolve an unverified governance claim; rather than let improved fundamentals silently absorb the original concern, conviction stays capped until the remuneration schedule is directly checked</w:t>
      </w:r>
    </w:p>
    <w:p>
      <w:pPr>
        <w:pStyle w:val="ListParagraph"/>
        <w:numPr>
          <w:ilvl w:val="0"/>
          <w:numId w:val="1"/>
        </w:numPr>
        <w:spacing w:after="60"/>
      </w:pPr>
      <w:r>
        <w:t xml:space="preserve">No red flag tier applied (not AVOID/EXCLUDE-level)</w:t>
      </w:r>
    </w:p>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2026-09-12T04:56:27.446Z</dcterms:created>
  <dcterms:modified xsi:type="dcterms:W3CDTF">2026-09-12T04:56:27.450Z</dcterms:modified>
</cp:coreProperties>
</file>

<file path=docProps/custom.xml><?xml version="1.0" encoding="utf-8"?>
<Properties xmlns="http://schemas.openxmlformats.org/officeDocument/2006/custom-properties" xmlns:vt="http://schemas.openxmlformats.org/officeDocument/2006/docPropsVTypes"/>
</file>