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RBL Bank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Mid-sized private bank (~Rs 62,500 Cr market cap) with persistently weak profitability (ROE ~5%, ROCE ~6%) and ongoing microfinance/credit-card asset-quality stress - a large-cap with no named structural inflection to justify a re-rating thesis.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RBL Bank is a private-sector bank with retail, wholesale and commercial banking segments, historically overweight unsecured retail (credit cards, microfinance). Seeded via untrusted X triage (@mystockedge, bullish, medium conviction, 2026-09-13). CEO R Subramaniakumar (since 2022, a turnaround specialist) has made incremental executive changes (e.g. Kumar Ashish as Head of Retail Assets, May 2025) but asset-quality stress in microfinance and credit cards has persisted through 2025-26, with collection efficiencies in some states below the 95%+ comfort level.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62,500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52-week range</w:t>
            </w:r>
          </w:p>
        </w:tc>
        <w:tc>
          <w:tcPr>
            <w:tcW w:type="dxa" w:w="5800"/>
          </w:tcPr>
          <w:p>
            <w:r>
              <w:t xml:space="preserve">~Rs 404 (range ~Rs 243-420)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~5.1% (3-yr avg ~5.9%) - weak for a bank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~5.8%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 (5yr)</w:t>
            </w:r>
          </w:p>
        </w:tc>
        <w:tc>
          <w:tcPr>
            <w:tcW w:type="dxa" w:w="5800"/>
          </w:tcPr>
          <w:p>
            <w:r>
              <w:t xml:space="preserve">~11.5% - modest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Asset quality</w:t>
            </w:r>
          </w:p>
        </w:tc>
        <w:tc>
          <w:tcPr>
            <w:tcW w:type="dxa" w:w="5800"/>
          </w:tcPr>
          <w:p>
            <w:r>
              <w:t xml:space="preserve">Ongoing stress in microfinance + credit-card books; low interest coverage flagged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large-cap bank (~Rs 62,500 Cr) with sub-par returns on equity/capital versus peers, driven by unresolved stress in its unsecured retail (microfinance, credit card) book. Leadership has been stable since 2022 with only incremental executive reshuffles - no fresh, named management or structural inflection event was found this pass that would justify a re-rating case at this market cap.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fast large-cap pass, thesis_fit 'neither' makes technical read low-value.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deep-dive performed per the large-cap-no-inflection fast rule.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SEBI/fraud/going-concern red flags found. Contingent liabilities (~Rs 1,45,506 Cr) are standard for a bank's LC/guarantee book, not a distress signal.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Turnaround-oriented CEO in place since 2022 with a stated focus on governance and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Large, diversified deposit/retail franchise with room for cost-of-funds and mix improvement if asset quality stabilises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(~5%) and ROCE (~6%) well below what a re-rating case would need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Microfinance and credit-card slippages remain elevated with no clear resolution timeline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named management/structural inflection identified - default large-cap treatment applies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62,500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weak · valuation: weak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Large-cap default tam:no applied (no named structural inflection found). Tailwind/moat/valuation all weak given persistent unsecured-book stress and sub-par returns.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Large-cap private bank with weak ROE/ROCE and unresolved microfinance/credit-card stress; no named structural inflection found - fast large-cap pass, thesis_fit 'neither',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(~Rs 62,500 Cr) triggers the default tam:no fast-pass rule - no specific named management/structural inflection was identified beyond a 2022 CEO change with incremental executive reshuffles since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~5%, ROCE ~6%, five-year revenue growth only ~11.5% - fundamentals do not support a re-rating thesis on their own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deep-dive performed per rule; topic_id remains null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- weak profitability is not itself an AVOID/EXCLUDE/HIGH CAUTION trigger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2026-09-16T02:48:16.632Z</dcterms:created>
  <dcterms:modified xsi:type="dcterms:W3CDTF">2026-09-16T02:48:16.635Z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